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VT-ID237628 (Brandenburg) — Allgemeine Bestimmungen</w:t>
      </w:r>
    </w:p>
    <w:p>
      <w:r>
        <w:rPr>
          <w:color w:val="555555"/>
          <w:sz w:val="18"/>
        </w:rPr>
        <w:t xml:space="preserve">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Veranstaltung, Durchführung und gewerbliche Vermittlung von öffentlichen Glücksspielen muss mit den Zielen des § 1 in Einklang stehen.</w:t>
      </w:r>
    </w:p>
    <w:p>
      <w:r>
        <w:t xml:space="preserve">(2) Die Veranstaltung, Durchführung und gewerbliche Vermittlung von öffentlichen Glücksspielen darf den Erfordernissen des Jugendschutzes nicht zuwiderlaufen. Die Teilnahme von Minderjährigen ist unzulässig.</w:t>
      </w:r>
    </w:p>
    <w:p>
      <w:r>
        <w:t xml:space="preserve">(3) Art und Umfang der Werbemaßnahmen für Glücksspiele müssen angemessen sein und dürfen nicht in Widerspruch zu den Zielen des § 1 stehen. Die Werbung darf nicht irreführend sein, insbesondere nicht darauf abzielen, unzutreffende Vorstellungen über die Gewinnchancen hervorzurufen.</w:t>
      </w:r>
    </w:p>
    <w:p>
      <w:r>
        <w:t xml:space="preserve">(4) Die Veranstalter, Durchführer und die gewerblichen Spielvermittler haben Informationen über Spielsucht, Prävention und Behandlungsmöglichkeiten bereitzuhalten.</w:t>
      </w:r>
    </w:p>
    <w:p>
      <w:r>
        <w:rPr>
          <w:color w:val="555555"/>
          <w:sz w:val="17"/>
        </w:rPr>
        <w:t xml:space="preserve">Zitiervorschlag: § 4 VT-ID237628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https://recht.nulegal.eu/gesetze/VT-ID237628/4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