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VT-ID237628 (Brandenburg) — Begriffsbestimmungen</w:t>
      </w:r>
    </w:p>
    <w:p>
      <w:r>
        <w:rPr>
          <w:color w:val="555555"/>
          <w:sz w:val="18"/>
        </w:rPr>
        <w:t xml:space="preserve">Staatsvertrag zum Lotteriewesen in Deutschland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Glücksspiel liegt vor, wenn im Rahmen eines Spiels für den Erwerb einer Gewinnchance ein Entgelt verlangt wird und die Entscheidung über den Gewinn ganz oder überwiegend vom Zufall abhängt. Die Entscheidung über den Gewinn hängt in jedem Fall vom Zufall ab, wenn dafür der ungewisse Eintritt oder Ausgang zukünftiger Ereignisse maßgeblich ist.</w:t>
      </w:r>
    </w:p>
    <w:p>
      <w:r>
        <w:t xml:space="preserve">(2) Ein öffentliches Glücksspiel liegt vor, wenn für einen größeren, nicht geschlossenen Personenkreis eine Teilnahmemöglichkeit besteht oder es sich um gewohnheitsmäßig veranstaltete Glücksspiele in Vereinen oder sonstigen geschlossenen Gesellschaften handelt.</w:t>
      </w:r>
    </w:p>
    <w:p>
      <w:r>
        <w:t xml:space="preserve">(3) Ein Glücksspiel im Sinne des Absatzes 1, bei dem einer Mehrzahl von Personen die Möglichkeit eröffnet wird, nach einem bestimmten Plan gegen ein bestimmtes Entgelt die Chance auf einen Geldgewinn zu erlangen, ist eine Lotterie. Die Vorschriften über Lotterien gelten auch, wenn anstelle von Geld Sachen oder andere geldwerte Vorteile gewonnen werden können (Ausspielung).</w:t>
      </w:r>
    </w:p>
    <w:p>
      <w:r>
        <w:rPr>
          <w:color w:val="555555"/>
          <w:sz w:val="17"/>
        </w:rPr>
        <w:t xml:space="preserve">Zitiervorschlag: § 3 VT-ID237628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