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VT-ID237628 (Brandenburg) — Weitere Regelungen</w:t>
      </w:r>
    </w:p>
    <w:p>
      <w:r>
        <w:rPr>
          <w:color w:val="555555"/>
          <w:sz w:val="18"/>
        </w:rPr>
        <w:t xml:space="preserve">Staatsvertrag zum Lotteriewesen in Deutschland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eine vor In-Kraft-Treten dieses Staatsvertrages erteilte Konzession, Genehmigung oder Erlaubnis gelten § 11 Absatz 3 Satz 2 und § 12 entsprechend. Abweichend von § 5 Absatz 2 kann das Land Rheinland-Pfalz seine Aufgabe nach § 5 Absatz 1 durch ein betrautes Unternehmen wahrnehmen.</w:t>
      </w:r>
    </w:p>
    <w:p>
      <w:r>
        <w:t xml:space="preserve">(2) Die zuständige Behörde kann eine Lotterie, die bei In-Kraft-Treten dieses Vertrages von mehreren Veranstaltern in allen Ländern durchgeführt wird und bei der der Reinertrag ausschließlich zur Erfüllung der in § 1 Nr. 5 genannten Zwecke verwandt wird, abweichend von § 6 Absatz 1 Satz 3 Nr. 3, § 7 Absatz 2, § 8 Absatz 1 Nr. 1 und § 9 Absatz 1 Satz 3 erlauben.</w:t>
      </w:r>
    </w:p>
    <w:p>
      <w:r>
        <w:t xml:space="preserve">(3) Der Reinertrag von Veranstaltungen in der Form des Gewinnsparens muss mit Beginn des dritten Kalenderjahres nach In-Kraft-Treten dieses Staatsvertrages mindestens 25 vom Hundert der Entgelte betragen. Der Reinertrag ist für steuerbegünstigte Zwecke im Sinne der Abgabenordnung zu verwenden. Erlaubnisse können allgemein erteilt werden.</w:t>
      </w:r>
    </w:p>
    <w:p>
      <w:r>
        <w:rPr>
          <w:color w:val="555555"/>
          <w:sz w:val="17"/>
        </w:rPr>
        <w:t xml:space="preserve">Zitiervorschlag: § 16 VT-ID237628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https://recht.nulegal.eu/gesetze/VT-ID237628/16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