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VT-ID237628 (Brandenburg) — Form und Inhalt der Erlaubnis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Erlaubnis wird schriftlich erteilt. In ihr sind insbesondere festzulegen:</w:t>
      </w:r>
    </w:p>
    <w:p>
      <w:r>
        <w:t xml:space="preserve">der Veranstalter sowie im Falle des § 8 Absatz 2 der Dritte,</w:t>
      </w:r>
    </w:p>
    <w:p>
      <w:r>
        <w:t xml:space="preserve">Art, Ort oder Gebiet sowie Beginn und Dauer der Veranstaltung,</w:t>
      </w:r>
    </w:p>
    <w:p>
      <w:r>
        <w:t xml:space="preserve">der Verwendungszweck des Reinertrages, die Art und Weise des Nachweises der Verwendung und der Zeitpunkt, zu dem der Nachweis zu erbringen ist,</w:t>
      </w:r>
    </w:p>
    <w:p>
      <w:r>
        <w:t xml:space="preserve">der Spielplan und</w:t>
      </w:r>
    </w:p>
    <w:p>
      <w:r>
        <w:t xml:space="preserve">die Vertriebsform.</w:t>
      </w:r>
    </w:p>
    <w:p>
      <w:r>
        <w:t xml:space="preserve">(2) Die Erlaubnis ist weder übertragbar noch kann sie einem Anderen zur Ausübung überlassen werden.</w:t>
      </w:r>
    </w:p>
    <w:p>
      <w:r>
        <w:t xml:space="preserve">(3) Die Erlaubnis kann widerruflich erteilt werden; sie ist auf höchstens ein Jahr zu befristen. Sie kann, auch nachträglich, mit Nebenbestimmungen versehen werden.</w:t>
      </w:r>
    </w:p>
    <w:p>
      <w:r>
        <w:rPr>
          <w:color w:val="555555"/>
          <w:sz w:val="17"/>
        </w:rPr>
        <w:t xml:space="preserve">Zitiervorschlag: § 11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