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VT-ID237628 (Brandenburg) — Ziel des Staatsvertrages</w:t>
      </w:r>
    </w:p>
    <w:p>
      <w:r>
        <w:rPr>
          <w:color w:val="555555"/>
          <w:sz w:val="18"/>
        </w:rPr>
        <w:t xml:space="preserve">Staatsvertrag zum Lotteriewesen in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Ziel des Staatsvertrages ist es,</w:t>
      </w:r>
    </w:p>
    <w:p>
      <w:r>
        <w:t xml:space="preserve">den natürlichen Spieltrieb der Bevölkerung in geordnete und überwachte Bahnen zu lenken, insbesondere ein Ausweichen auf nicht erlaubte Glücksspiele zu verhindern,</w:t>
      </w:r>
    </w:p>
    <w:p>
      <w:r>
        <w:t xml:space="preserve">übermäßige Spielanreize zu verhindern,</w:t>
      </w:r>
    </w:p>
    <w:p>
      <w:r>
        <w:t xml:space="preserve">eine Ausnutzung des Spieltriebs zu privaten oder gewerblichen Gewinnzwecken auszuschließen,</w:t>
      </w:r>
    </w:p>
    <w:p>
      <w:r>
        <w:t xml:space="preserve">sicherzustellen, dass Glücksspiele ordnungsgemäß und nachvollziehbar durchgeführt werden und</w:t>
      </w:r>
    </w:p>
    <w:p>
      <w:r>
        <w:t xml:space="preserve">sicherzustellen, dass ein erheblicher Teil der Einnahmen aus Glücksspielen zur Förderung öffentlicher oder steuerbegünstigter Zwecke im Sinne der Abgabenordnung verwendet wird.</w:t>
      </w:r>
    </w:p>
    <w:p>
      <w:r>
        <w:rPr>
          <w:color w:val="555555"/>
          <w:sz w:val="17"/>
        </w:rPr>
        <w:t xml:space="preserve">Zitiervorschlag: § 1 VT-ID237628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