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 VT-ID237627 (Brandenburg)</w:t>
      </w:r>
    </w:p>
    <w:p>
      <w:r>
        <w:rPr>
          <w:color w:val="555555"/>
          <w:sz w:val="18"/>
        </w:rPr>
        <w:t xml:space="preserve">Staatsvertrag zwischen den Ländern Brandenburg und Sachsen-Anhalt über die Änderung der gemeinsamen Landesgrenze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Dieser Vertrag bedarf der Ratifikation. Die Ratifikationsurkunden werden unverzüglich ausgetauscht.</w:t>
      </w:r>
    </w:p>
    <w:p>
      <w:r>
        <w:t xml:space="preserve">(2) Dieser Vertrag tritt am Tag, der auf den Austausch der Ratifikationsurkunden folgt, in Kraft.</w:t>
      </w:r>
    </w:p>
    <w:p>
      <w:r>
        <w:t xml:space="preserve">Potsdam, den 24. August 1993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vertreten durch den Minister des Innern</w:t>
      </w:r>
    </w:p>
    <w:p>
      <w:r>
        <w:t xml:space="preserve">Alwin Ziel</w:t>
      </w:r>
    </w:p>
    <w:p>
      <w:r>
        <w:t xml:space="preserve">Magdeburg, den 24. August 1993</w:t>
      </w:r>
    </w:p>
    <w:p>
      <w:r>
        <w:t xml:space="preserve">Für das Land Sachsen-Anhalt</w:t>
      </w:r>
    </w:p>
    <w:p>
      <w:r>
        <w:t xml:space="preserve">Für den Ministerpräsidenten des Landes Sachsen-Anhalt</w:t>
      </w:r>
    </w:p>
    <w:p>
      <w:r>
        <w:t xml:space="preserve">Der Minister des Innern des Landes Sachsen-Anhalt</w:t>
      </w:r>
    </w:p>
    <w:p>
      <w:r>
        <w:t xml:space="preserve">Hartmut Perschau</w:t>
      </w:r>
    </w:p>
    <w:p>
      <w:r>
        <w:t xml:space="preserve">Anlage</w:t>
      </w:r>
    </w:p>
    <w:p>
      <w:r>
        <w:t xml:space="preserve">(zu Artikel 1 Absatz 2)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5 VT-ID237627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https://recht.nulegal.eu/gesetze/VT-ID237627/5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