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VT-ID237627 (Brandenburg)</w:t>
      </w:r>
    </w:p>
    <w:p>
      <w:r>
        <w:rPr>
          <w:color w:val="555555"/>
          <w:sz w:val="18"/>
        </w:rPr>
        <w:t xml:space="preserve">Staatsvertrag zwischen den Ländern Brandenburg und Sachsen-Anhalt über die Änderung der gemeinsamen Landesgrenze</w:t>
      </w:r>
    </w:p>
    <w:p>
      <w:r>
        <w:rPr>
          <w:color w:val="555555"/>
          <w:sz w:val="18"/>
        </w:rPr>
        <w:t xml:space="preserve">Landesrecht Brandenburg</w:t>
      </w:r>
    </w:p>
    <w:p>
      <w:r>
        <w:rPr>
          <w:color w:val="555555"/>
          <w:sz w:val="18"/>
        </w:rPr>
        <w:t xml:space="preserve">Stand: 02.08.2026 (konsolidierte Textfassung, kein amtliches Inkrafttretensdatum)</w:t>
      </w:r>
    </w:p>
    <w:p>
      <w:r>
        <w:t xml:space="preserve">Durch die Änderung der Grenze zwischen den vertragschließenden Ländern wird die Zuständigkeit eines Gerichts für die bei ihm anhängigen Verfahren nicht berührt. Das Gericht bleibt auch weiterhin für die Angelegenheiten zuständig, bei denen sich die Zuständigkeit nach einem bei ihm anhängigen oder anhängig gewesenen Verfahren bestimmt (darunter Kostenfestsetzungsverfahren, Verfahren nach Zurückweisung, Wiederaufnahme des Verfahrens, Vollstreckungsgegenklage, Entscheidungen über die Strafvollstreckung).</w:t>
      </w:r>
    </w:p>
    <w:p>
      <w:r>
        <w:rPr>
          <w:color w:val="555555"/>
          <w:sz w:val="17"/>
        </w:rPr>
        <w:t xml:space="preserve">Zitiervorschlag: Art 2 VT-ID237627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