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 VT-ID237627 (Brandenburg)</w:t>
      </w:r>
    </w:p>
    <w:p>
      <w:r>
        <w:rPr>
          <w:color w:val="555555"/>
          <w:sz w:val="18"/>
        </w:rPr>
        <w:t xml:space="preserve">Staatsvertrag zwischen den Ländern Brandenburg und Sachsen-Anhalt über die Änderung der gemeinsamen Landesgrenze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Flurstücke 28/6, 28/10 und 49 der Flur 5 der Gemarkung Brandis, Gemeinde Brandis, Landkreis Herzberg, werden aus dem Land Brandenburg ausgegliedert und in das Land Sachsen-Anhalt, Landkreis Jessen, Gemeinde Holzdorf, eingegliedert.</w:t>
      </w:r>
    </w:p>
    <w:p>
      <w:r>
        <w:t xml:space="preserve">(2) Die aus der Neugliederung sich ergebenden Grenzänderungen sind in der Anlage kartographisch dargestellt. Die Anlage ist Bestandteil dieses Vertrages.</w:t>
      </w:r>
    </w:p>
    <w:p>
      <w:r>
        <w:rPr>
          <w:color w:val="555555"/>
          <w:sz w:val="17"/>
        </w:rPr>
        <w:t xml:space="preserve">Zitiervorschlag: Art 1 VT-ID237627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Dieses Dokument: https://recht.nulegal.eu/gesetze/VT-ID237627/1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