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VT-ID237626 (Brandenburg) — Anzuwendendes Recht</w:t>
      </w:r>
    </w:p>
    <w:p>
      <w:r>
        <w:rPr>
          <w:color w:val="555555"/>
          <w:sz w:val="18"/>
        </w:rPr>
        <w:t xml:space="preserve">Staatsvertrag der Länder Berlin und Brandenburg über die Errichtung des Landesamtes für Mess- und Eichwesen Berlin-Brandenburg (Mess- und Eichwesen-Staatsvertrag)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das gemeinsame Landesamt und die von ihm getroffenen Entscheidungen gilt, soweit im Staatsvertrag nichts Anderes geregelt oder Bundesrecht anzuwenden ist, das Recht des Sitzlandes.</w:t>
      </w:r>
    </w:p>
    <w:p>
      <w:r>
        <w:t xml:space="preserve">(2) Bis zum Erlass einer neuen Geschäftsordnung gilt für das Geschäftsverfahren innerhalb des gemeinsamen Landesamtes sinngemäß die Geschäftsordnung des Landesamtes für Mess- und Eichwesen Brandenburg in der vom Ministerium für Wirtschaft des Landes Brandenburg bestätigten Fassung.</w:t>
      </w:r>
    </w:p>
    <w:p>
      <w:r>
        <w:rPr>
          <w:color w:val="555555"/>
          <w:sz w:val="17"/>
        </w:rPr>
        <w:t xml:space="preserve">Zitiervorschlag: Art 7 VT-ID237626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https://recht.nulegal.eu/gesetze/VT-ID237626/7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