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VT-ID237626 (Brandenburg) — Privatisierung von Aufgaben und Option zur Umwandlung in einen Landesbetrieb</w:t>
      </w:r>
    </w:p>
    <w:p>
      <w:r>
        <w:rPr>
          <w:color w:val="555555"/>
          <w:sz w:val="18"/>
        </w:rPr>
        <w:t xml:space="preserve">Staatsvertrag der Länder Berlin und Brandenburg über die Errichtung des Landesamtes für Mess- und Eichwesen Berlin-Brandenburg (Mess- und Eichwesen-Staatsvertrag)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vertragschließenden Länder werden Aufgaben des Mess- und Eichwesens privatisieren, sobald die einschlägigen gesetzlichen Bestimmungen dies zulassen. Im Übrigen findet § 6 Abs. 1 und 2 des Haushaltsgrundsätzegesetzes vom 19. August 1969 (BGBI. I S. 1273), zuletzt geändert durch Artikel 7 des Gesetzes vom 20. Dezember 2001 (BGBI. I S. 3955, 3961, dieses wiederum geändert durch Gesetz vom 21. Juni 2002, BGBl. I S. 2166), Anwendung.</w:t>
      </w:r>
    </w:p>
    <w:p>
      <w:r>
        <w:t xml:space="preserve">(2) Die vertragschließenden Länder werden im gemeinsamen Landesamt bis zum 1. Januar 2005 die Kosten- und Leistungsrechnung als ein betriebswirtschaftliches Steuerungsinstrument einführen.</w:t>
      </w:r>
    </w:p>
    <w:p>
      <w:r>
        <w:t xml:space="preserve">(3) Die vertragschließenden Länder werden im Jahre 2006 erstmalig, danach alle zwei Jahre prüfen, ob eine Umwandlung des gemeinsamen Landesamtes in einen Landesbetrieb nach § 26 Abs. 1 der Landeshaushaltsordnungen wirtschaftlich zweckmäßig ist.</w:t>
      </w:r>
    </w:p>
    <w:p>
      <w:r>
        <w:rPr>
          <w:color w:val="555555"/>
          <w:sz w:val="17"/>
        </w:rPr>
        <w:t xml:space="preserve">Zitiervorschlag: Art 2 VT-ID237626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