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VT-ID237626 (Brandenburg) — In-Kraft-Treten</w:t>
      </w:r>
    </w:p>
    <w:p>
      <w:r>
        <w:rPr>
          <w:color w:val="555555"/>
          <w:sz w:val="18"/>
        </w:rPr>
        <w:t xml:space="preserve">Staatsvertrag der Länder Berlin und Brandenburg über die Errichtung des Landesamtes für Mess- und Eichwesen Berlin-Brandenburg (Mess- und Eichwesen-Staatsvertrag)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tritt am ersten Tag des auf den Austausch der Ratifikationsurkunden folgenden Monats in Kraft.</w:t>
      </w:r>
    </w:p>
    <w:p>
      <w:r>
        <w:t xml:space="preserve">Berlin, den 11. März 2004</w:t>
      </w:r>
    </w:p>
    <w:p>
      <w:r>
        <w:t xml:space="preserve">Für das Land Berlin</w:t>
      </w:r>
    </w:p>
    <w:p>
      <w:r>
        <w:t xml:space="preserve">Der Regierende Bürgermeister,</w:t>
      </w:r>
    </w:p>
    <w:p>
      <w:r>
        <w:t xml:space="preserve">vertreten durch den Senator für</w:t>
      </w:r>
    </w:p>
    <w:p>
      <w:r>
        <w:t xml:space="preserve">Wirtschaft, Arbeit und Frauen</w:t>
      </w:r>
    </w:p>
    <w:p>
      <w:r>
        <w:t xml:space="preserve">Harald Wolf</w:t>
      </w:r>
    </w:p>
    <w:p>
      <w:r>
        <w:t xml:space="preserve">Potsdam, den 11. März 2004</w:t>
      </w:r>
    </w:p>
    <w:p>
      <w:r>
        <w:t xml:space="preserve">Für das Land Brandenburg</w:t>
      </w:r>
    </w:p>
    <w:p>
      <w:r>
        <w:t xml:space="preserve">Der Ministerpräsident,</w:t>
      </w:r>
    </w:p>
    <w:p>
      <w:r>
        <w:t xml:space="preserve">vertreten durch den Minister für Wirtschaft</w:t>
      </w:r>
    </w:p>
    <w:p>
      <w:r>
        <w:t xml:space="preserve">Ulrich Junghanns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10 VT-ID237626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https://recht.nulegal.eu/gesetze/VT-ID237626/10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