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VT-ID237623 (Brandenburg) — Schlußbestimmung</w:t>
      </w:r>
    </w:p>
    <w:p>
      <w:r>
        <w:rPr>
          <w:color w:val="555555"/>
          <w:sz w:val="18"/>
        </w:rPr>
        <w:t xml:space="preserve">Staatsvertrag zwischen dem Land Brandenburg und dem Freistaat Sachsen über die Errichtung der „Stiftung für das sorbische Volk”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Organe der Stiftung sind innerhalb von drei Monaten nach Inkrafttreten des Staatsvertrages zu bilden.</w:t>
      </w:r>
    </w:p>
    <w:p>
      <w:r>
        <w:t xml:space="preserve">(2) Bis zur Bestellung des Direktors werden dessen Aufgaben durch den bisherigen Direktor der nicht rechtsfähigen "Stiftung für das sorbische Volk" wahrgenommen.</w:t>
      </w:r>
    </w:p>
    <w:p>
      <w:r>
        <w:rPr>
          <w:color w:val="555555"/>
          <w:sz w:val="17"/>
        </w:rPr>
        <w:t xml:space="preserve">Zitiervorschlag: Art 15 VT-ID237623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https://recht.nulegal.eu/gesetze/VT-ID237623/15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