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VT-ID237623 (Brandenburg) — Haushalt, Rechnungsprüfung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Haushalts-, Kassen- und Rechnungswesen sowie die Rechnungslegung der Stiftung und die Rechnungsprüfung finden die für die staatliche Verwaltung des Freistaates Sachsen geltenden Bestimmungen entsprechend Anwendung.</w:t>
      </w:r>
    </w:p>
    <w:p>
      <w:r>
        <w:t xml:space="preserve">(2) Der Haushaltsplan der Stiftung ist alljährlich rechtzeitig vor Beginn des Haushaltsjahres vom Direktor im Entwurf aufzustellen und vom Stiftungsrat festzustellen. Für das weitere Verfahren gilt Artikel 4 Satz 2 entsprechend.</w:t>
      </w:r>
    </w:p>
    <w:p>
      <w:r>
        <w:t xml:space="preserve">(3) Die Haushalts- und Wirtschaftsführung der Stiftung wird vom Sächsischen Rechnungshof geprüft. Gesetzliche Prüfungsrechte des Landesrechnungshofes Brandenburg sowie des Bundesrechnungshofes bleiben unberührt.</w:t>
      </w:r>
    </w:p>
    <w:p>
      <w:r>
        <w:rPr>
          <w:color w:val="555555"/>
          <w:sz w:val="17"/>
        </w:rPr>
        <w:t xml:space="preserve">Zitiervorschlag: Art 12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