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VT-ID237605 (Brandenburg)</w:t>
      </w:r>
    </w:p>
    <w:p>
      <w:r>
        <w:rPr>
          <w:color w:val="555555"/>
          <w:sz w:val="18"/>
        </w:rPr>
        <w:t xml:space="preserve">Staatsvertrag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bedarf nach Zustimmung der verfassungsmäßig zuständigen Organe der vertragschließenden Länder der Ratifikation und tritt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Staatsvertrages geltenden Fassung unter Hinweis auf den Staatsvertrag in den Wirtschaftsprüferkammer-Mitteilungen bekannt zugeben; entsprechendes gilt für Satzungsänderungen nach Inkrafttreten dieses Staatsvertrages.</w:t>
      </w:r>
    </w:p>
    <w:p>
      <w:r>
        <w:t xml:space="preserve">Potsdam, 14. Juli 1998</w:t>
      </w:r>
    </w:p>
    <w:p>
      <w:r>
        <w:t xml:space="preserve">Düsseldorf, 7. September 1998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für Wirtschaft,</w:t>
      </w:r>
    </w:p>
    <w:p>
      <w:r>
        <w:t xml:space="preserve">Mittelstand und Technologie</w:t>
      </w:r>
    </w:p>
    <w:p>
      <w:r>
        <w:t xml:space="preserve">gez. Dr. Burkhard Dreher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gez. Heinz Schleußer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8 VT-ID237605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