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VT-ID237601 (Brandenburg)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bedarf der Ratifikation. Die Ratifikationsurkunden werden unverzüglich ausgetauscht.</w:t>
      </w:r>
    </w:p>
    <w:p>
      <w:r>
        <w:t xml:space="preserve">(2) Dieser Vertrag tritt am Tage nach dem Austausch der Ratifikationsurkunden in Kraft.</w:t>
      </w:r>
    </w:p>
    <w:p>
      <w:r>
        <w:t xml:space="preserve">Potsdam, den 15. Mai 1998</w:t>
      </w:r>
    </w:p>
    <w:p>
      <w:r>
        <w:t xml:space="preserve">Dresden, den 21. April 1998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Anm.: die Anlagen wurden nicht aufgenommen.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7 VT-ID237601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