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VT-ID237600 (Brandenburg)</w:t>
      </w:r>
    </w:p>
    <w:p>
      <w:r>
        <w:rPr>
          <w:color w:val="555555"/>
          <w:sz w:val="18"/>
        </w:rPr>
        <w:t xml:space="preserve">Staatsvertrag zwischen dem Land Brandenburg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in diesem Vertrag nichts anderes geregelt ist, gilt</w:t>
      </w:r>
    </w:p>
    <w:p>
      <w:r>
        <w:t xml:space="preserve">für Zweckverbände das Recht der kommunalen Zusammenarbeit des Landes, in dem der Zweckverband seinen Sitz hat oder haben soll,</w:t>
      </w:r>
    </w:p>
    <w:p>
      <w:r>
        <w:t xml:space="preserve">für Zweckvereinbarungen das Recht der kommunalen Zusammenarbeit des Landes, dem die Körperschaft angehört, der durch die Vereinbarung die Erfüllung oder Durchführung der Aufgabe übertragen worden ist oder werden soll.</w:t>
      </w:r>
    </w:p>
    <w:p>
      <w:r>
        <w:rPr>
          <w:color w:val="555555"/>
          <w:sz w:val="17"/>
        </w:rPr>
        <w:t xml:space="preserve">Zitiervorschlag: Art 2 VT-ID237600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