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VT-ID237599 (Brandenburg)</w:t>
      </w:r>
    </w:p>
    <w:p>
      <w:r>
        <w:rPr>
          <w:color w:val="555555"/>
          <w:sz w:val="18"/>
        </w:rPr>
        <w:t xml:space="preserve">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Brandenburg,</w:t>
      </w:r>
    </w:p>
    <w:p>
      <w:r>
        <w:t xml:space="preserve">das Land Mecklenburg-Vorpommern,</w:t>
      </w:r>
    </w:p>
    <w:p>
      <w:r>
        <w:t xml:space="preserve">der Freistaaat Sachsen,</w:t>
      </w:r>
    </w:p>
    <w:p>
      <w:r>
        <w:t xml:space="preserve">das Land Sachsen-Anhalt und</w:t>
      </w:r>
    </w:p>
    <w:p>
      <w:r>
        <w:t xml:space="preserve">der Freistaat Thüringen</w:t>
      </w:r>
    </w:p>
    <w:p>
      <w:r>
        <w:t xml:space="preserve">schließen vorbehaltlich der Zustimmung ihrer verfassungsmäßig zuständigen Organe nachstehenden Staatsvertrag:</w:t>
      </w:r>
    </w:p>
    <w:p>
      <w:r>
        <w:t xml:space="preserve">§ 1</w:t>
      </w:r>
    </w:p>
    <w:p>
      <w:r>
        <w:t xml:space="preserve">Die Führung des Seeschiffsregisters und die gerichtlichen Aufgaben im Verfahren zur Aufmachung der Dispache werden dem Amtsgericht Rostock für das Gebiet der Länder Brandenburg, Mecklenburg-Vorpommern, Sachsen, Sachsen-Anhalt und Thüringen übertragen.</w:t>
      </w:r>
    </w:p>
    <w:p>
      <w:r>
        <w:t xml:space="preserve">§ 2</w:t>
      </w:r>
    </w:p>
    <w:p>
      <w:r>
        <w:t xml:space="preserve">Das Land Mecklenburg-Vorpommern verzichtet auf Kostenausgleichsansprüche gegen die an diesem Staatsvertrag beteiligten Länder; es erhält die Einnahmen des Amtsgerichts Rostock aus den ihm übertragenen Angelegenheiten.</w:t>
      </w:r>
    </w:p>
    <w:p>
      <w:r>
        <w:t xml:space="preserve">§ 3</w:t>
      </w:r>
    </w:p>
    <w:p>
      <w:r>
        <w:t xml:space="preserve">Der Staatsvertrag kann mit einer Frist von sechs Monaten zum Ende eines Kalenderjahres gekündigt werden, und zwar sowohl von dem Land Mecklenburg-Vorpommern gegenüber allen oder einzelnen Ländern als auch von den einzelnen Ländern gegenüber dem Land Mecklenburg-Vorpommern.</w:t>
      </w:r>
    </w:p>
    <w:p>
      <w:r>
        <w:t xml:space="preserve">§ 4</w:t>
      </w:r>
    </w:p>
    <w:p>
      <w:r>
        <w:t xml:space="preserve">Dieser Staatsvertrag bedarf der Ratifikation. Die Ratifikationsurkunden werden bei der Staatskanzlei des Landes Mecklenburg-Vorpommern hinterlegt. Der Staatsvertrag tritt mit dem Ersten des Monats in Kraft, der auf den Tag der Hinterlegung der letzten Ratifikationsurkunde folgt. Die Staatskanzlei des Landes Mecklenburg-Vorpommern teilt den übrigen an dem Staatsvertrag beteiligten Ländern die Hinterlegung der letzten Ratifikationsurkunde mit.</w:t>
      </w:r>
    </w:p>
    <w:p>
      <w:r>
        <w:t xml:space="preserve">Potsdam, den 29. August 1994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der Justiz</w:t>
      </w:r>
    </w:p>
    <w:p>
      <w:r>
        <w:t xml:space="preserve">Dr. Bräutigam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für Justiz,</w:t>
      </w:r>
    </w:p>
    <w:p>
      <w:r>
        <w:t xml:space="preserve">Bundes- und Europaangelegenheiten</w:t>
      </w:r>
    </w:p>
    <w:p>
      <w:r>
        <w:t xml:space="preserve">Helmrich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Heitmann</w:t>
      </w:r>
    </w:p>
    <w:p>
      <w:r>
        <w:t xml:space="preserve">Für das Land Sachsen-Anhalt</w:t>
      </w:r>
    </w:p>
    <w:p>
      <w:r>
        <w:t xml:space="preserve">Für den Ministerpräsideten</w:t>
      </w:r>
    </w:p>
    <w:p>
      <w:r>
        <w:t xml:space="preserve">des Landes Sachsen-Anhalt</w:t>
      </w:r>
    </w:p>
    <w:p>
      <w:r>
        <w:t xml:space="preserve">Die Ministerin der Justiz</w:t>
      </w:r>
    </w:p>
    <w:p>
      <w:r>
        <w:t xml:space="preserve">des Landes Sachsen-Anhalt</w:t>
      </w:r>
    </w:p>
    <w:p>
      <w:r>
        <w:t xml:space="preserve">Schubert</w:t>
      </w:r>
    </w:p>
    <w:p>
      <w:r>
        <w:t xml:space="preserve">Für den Freistaat Thüringen</w:t>
      </w:r>
    </w:p>
    <w:p>
      <w:r>
        <w:t xml:space="preserve">Der Ministerpräsident</w:t>
      </w:r>
    </w:p>
    <w:p>
      <w:r>
        <w:t xml:space="preserve">vertreten durch den Justizminister</w:t>
      </w:r>
    </w:p>
    <w:p>
      <w:r>
        <w:t xml:space="preserve">In Vertretung</w:t>
      </w:r>
    </w:p>
    <w:p>
      <w:r>
        <w:t xml:space="preserve">Dr. Gasser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Volltext VT-ID237599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https://recht.nulegal.eu/gesetze/VT-ID237599/volltext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