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VT-ID237590 (Brandenburg) — Zweck und Grundlage des Vertrages</w:t>
      </w:r>
    </w:p>
    <w:p>
      <w:r>
        <w:rPr>
          <w:color w:val="555555"/>
          <w:sz w:val="18"/>
        </w:rPr>
        <w:t xml:space="preserve">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regelt die länderübergreifende Unterbringung von Sicherungsverwahrten in einem Vollzugsverbund mit dem Ziel, durch Schwerpunktsetzung differenzierte Behandlungsmöglichkeiten zu schaffen.</w:t>
      </w:r>
    </w:p>
    <w:p>
      <w:r>
        <w:t xml:space="preserve">(2) Der Vollzug der Sicherungsverwahrung richtet sich nach den bundes- und landesrechtlichen Regelungen zur Ausgestaltung der Unterbringung in der Sicherungsverwahrung im Sinne eines einerseits freiheitsorientierten und therapiegerichteten, andererseits auf die Sicherheit der Bevölkerung ausgerichteten Gesamtkonzepts.</w:t>
      </w:r>
    </w:p>
    <w:p>
      <w:r>
        <w:rPr>
          <w:color w:val="555555"/>
          <w:sz w:val="17"/>
        </w:rPr>
        <w:t xml:space="preserve">Zitiervorschlag: Art 1 VT-ID237590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https://recht.nulegal.eu/gesetze/VT-ID237590/1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