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VT-HAVELPOLDER (Brandenburg) — Polderflutung, Folgemaßnahmen</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Hält die Koordinierungsstelle zur Herstellung der Hochwassersicherheit eine Kappung des Elbescheitels durch Flutung von Poldern, Folgemaßnahmen nach der Flutung oder das Ablassen aus den Poldern für erforderlich, gibt sie eine entsprechende Empfehlung an die für Hochwasserschutz zuständigen Mitglieder der Landesregierungen der Länder Brandenburg und Sachsen-Anhalt. Diese entscheiden einvernehmlich und im Benehmen mit dem Bund und den Ländern Mecklenburg-Vorpommern, Niedersachsen und Schleswig-Holstein. Für ihre Empfehlung hat die Koordinierungsstelle die Belange aller Vertragspartner abzuwägen.</w:t>
      </w:r>
    </w:p>
    <w:p>
      <w:r>
        <w:t xml:space="preserve">(2) Die Länder tragen dafür Sorge, dass die zuständigen Landesbehörden und die Öffentlichkeit in den betroffenen Landkreisen in geeigneter Form über die Maßnahmen informiert werden.</w:t>
      </w:r>
    </w:p>
    <w:p>
      <w:r>
        <w:rPr>
          <w:color w:val="555555"/>
          <w:sz w:val="17"/>
        </w:rPr>
        <w:t xml:space="preserve">Zitiervorschlag: Art 3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