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VT-FSUE_1994 (Brandenburg) — Kündigung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 Vertragspartei kann dieses übereinkommen jederzeit durch eine an den Generalsekretär des Europarats gerichtete Notifikation kündigen.</w:t>
      </w:r>
    </w:p>
    <w:p>
      <w:r>
        <w:t xml:space="preserve">(2) Die Kündigung wird am ersten Tag des Monats wirksam, der auf einen Zeitabschnitt von sechs Monaten nach Eingang der Notifikation beim Generalsekretär folgt.</w:t>
      </w:r>
    </w:p>
    <w:p>
      <w:r>
        <w:rPr>
          <w:color w:val="555555"/>
          <w:sz w:val="17"/>
        </w:rPr>
        <w:t xml:space="preserve">Zitiervorschlag: Art 33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