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VT-FSUE_1994 (Brandenburg) — Vorbehalte</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Unterzeichnung oder der Hinterlegung seiner Ratifikations-, Annahme-, Genehmigungs- oder Beitrittsurkunde</w:t>
      </w:r>
    </w:p>
    <w:p>
      <w:r>
        <w:t xml:space="preserve">kann jeder Staat erklären, daß er sich das Recht vorbehält, die Weiterverbreitung von Programmen, die Werbung für alkoholische Getränke nach Maßgabe des Artikels 15 Absatz 2 enthalten, in seinem Hoheitsgebiet zu beschränken, soweit diese Weiterverbreitung seinen innerstaatlichen Rechtsvorschriften nicht entspricht;</w:t>
      </w:r>
    </w:p>
    <w:p>
      <w:r>
        <w:t xml:space="preserve">kann das Vereinigte Königreich erklären, daß es sich das Recht vorbehält, die in Artikel 15 Absatz 1 vorgesehene Verpflichtung, Werbung für Tabakerzeugnisse zu verbieten, hinsichtlich der Werbung für Zigarren und Pfeifentabak, die von der Independent Broadcasting Authority über terrestrische Mittel in seinem Hoheitsgebiet gesendet wird, nicht zu erfüllen.</w:t>
      </w:r>
    </w:p>
    <w:p>
      <w:r>
        <w:t xml:space="preserve">Weitere Vorbehalte sind nicht zulässig.</w:t>
      </w:r>
    </w:p>
    <w:p>
      <w:r>
        <w:t xml:space="preserve">(2) Gegen einen nach Absatz 1 angebrachten Vorbehalt sind Einsprüche nicht zulässig.</w:t>
      </w:r>
    </w:p>
    <w:p>
      <w:r>
        <w:t xml:space="preserve">(3) Jeder Vertragsstaat, der einen Vorbehalt nach Absatz 1 angebracht hat, kann ihn durch eine an den Generalsekretär des Europarats gerichtete Notifikation ganz oder teilweise zurücknehmen. Die Rücknahme wird mit dem Eingang der Notifikation beim Generalsekretär wirksam.</w:t>
      </w:r>
    </w:p>
    <w:p>
      <w:r>
        <w:t xml:space="preserve">(4) Eine Vertragspartei, die einen Vorbehalt zu einer Bestimmung dieses Übereinkommens angebracht hat, kann nicht verlangen, daß eine andere Vertragspartei diese Bestimmung anwendet; sie kann jedoch, wenn es sich um einen Teilvorbehalt oder einen bedingten Vorbehalt handelt, die Anwendung der betreffenden Bestimmung insoweit verlangen, als sie selbst sie angenommen hat.</w:t>
      </w:r>
    </w:p>
    <w:p>
      <w:r>
        <w:rPr>
          <w:color w:val="555555"/>
          <w:sz w:val="17"/>
        </w:rPr>
        <w:t xml:space="preserve">Zitiervorschlag: Art 32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