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VT-FSUE_1994 (Brandenburg) — Beitritt von Nichtmitgliedstaaten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Inkrafttreten dieses Übereinkommens kann das Ministerkomitee des Europarats nach Konsultation der Vertragsstaaten durch einen mit der in Artikel 20 Buchstabe d der Satzung des Europarats vorgesehenen Mehrheit und mit einhelliger Zustimmung der Vertreter der Vertragsstaaten, die Anspruch auf einen Sitz im Komitee haben, gefaßten Beschluß jeden anderen Staat einladen, dem übereinkommen beizutreten.</w:t>
      </w:r>
    </w:p>
    <w:p>
      <w:r>
        <w:t xml:space="preserve">(2) Für jeden beitretenden Staat tritt dieses Übereinkommen am ersten Tag des Monats in Kraft, der auf einen Zeitabschnitt von drei Monaten nach Hinterlegung der Beitrittsurkunde beim Generalsekretär des Europarats folgt.</w:t>
      </w:r>
    </w:p>
    <w:p>
      <w:r>
        <w:rPr>
          <w:color w:val="555555"/>
          <w:sz w:val="17"/>
        </w:rPr>
        <w:t xml:space="preserve">Zitiervorschlag: Art 30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