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VT-FSUE_1994 (Brandenburg) — Behauptete Verletzungen dieses Übereinkommens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Stellt eine Vertragspartei eine Verletzung dieses Übereinkommens fest, so unterrichtet sie die sendende Vertragspartei von der behaupteten Verletzung; die beiden Vertragsparteien bemühen sich, die Schwierigkeit auf der Grundlage der Artikel 19, 25 und 26 auszuräumen.</w:t>
      </w:r>
    </w:p>
    <w:p>
      <w:r>
        <w:t xml:space="preserve">(2) Ist die behauptete Verletzung offensichtlich, ernsthaft und schwerwiegend, so daß wichtige Fragen von öffentlichem Interesse berührt und Artikel 7 Absatz 1 oder 2, Artikel 12, Artikel 13 Absatz 1 Satz 1, Artikel 14 oder Artikel 15 Absatz 1 oder 3 betroffen sind, und dauert sie zwei Wochen nach der Unterrichtung noch an, so kann die empfangende Vertragspartei die Weiterverbreitung des beanstandeten Programms vorläufig aussetzen.</w:t>
      </w:r>
    </w:p>
    <w:p>
      <w:r>
        <w:t xml:space="preserve">(3) In allen anderen Fällen behaupteter Verletzung mit Ausnahme der in Absatz 4 vorgesehenen kann die empfangende Vertragspartei die Weiterverbreitung des beanstandeten Programms acht Monate nach der Unterrichtung vorläufig aussetzen, wenn die behauptete Verletzung weiterhin andauert.</w:t>
      </w:r>
    </w:p>
    <w:p>
      <w:r>
        <w:t xml:space="preserve">(4) Die vorläufige Aussetzung der Weiterverbreitung ist im Fall behaupteter Verletzung des Artikels 7 Absatz 3 oder des Artikels 8, 9 oder 10 nicht erlaubt.</w:t>
      </w:r>
    </w:p>
    <w:p>
      <w:r>
        <w:rPr>
          <w:color w:val="555555"/>
          <w:sz w:val="17"/>
        </w:rPr>
        <w:t xml:space="preserve">Zitiervorschlag: Art 24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