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 VT-FSUE_1994 (Brandenburg) — Form und Aufmachung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Werbung muß klar als solche erkennbar und durch optische oder akustische Mittel eindeutig von anderen Programmteilen getrennt sein. Grundsätzlich wird sie in Blöcken gesendet.</w:t>
      </w:r>
    </w:p>
    <w:p>
      <w:r>
        <w:t xml:space="preserve">(2) Unterschwellige Werbung ist verboten.</w:t>
      </w:r>
    </w:p>
    <w:p>
      <w:r>
        <w:t xml:space="preserve">(3) Schleichwerbung, insbesondere die Darstellung von Erzeugnissen oder Dienstleistungen in Sendungen zu Werbezwecken, ist verboten.</w:t>
      </w:r>
    </w:p>
    <w:p>
      <w:r>
        <w:t xml:space="preserve">(4) In der Werbung dürfen weder im Bild noch im Ton Personen auftreten, die regelmäßig Nachrichtensendungen und Sendungen zum politischen Zeitgeschehen vorstellen.</w:t>
      </w:r>
    </w:p>
    <w:p>
      <w:r>
        <w:rPr>
          <w:color w:val="555555"/>
          <w:sz w:val="17"/>
        </w:rPr>
        <w:t xml:space="preserve">Zitiervorschlag: Art 13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