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VT-FOLTERSTV_2010 (Brandenburg) — Sekretariat</w:t>
      </w:r>
    </w:p>
    <w:p>
      <w:r>
        <w:rPr>
          <w:color w:val="555555"/>
          <w:sz w:val="18"/>
        </w:rPr>
        <w:t xml:space="preserve">Staatsvertrag über die Einrichtung eines nationalen Mechanismus aller Länder nach Artikel 3 des Fakultativprotokolls vom 18. Dezember 2002 zu dem Übereinkommen der Vereinten Nationen gegen Folter und andere grausame, unmenschliche oder erniedrigende Behandlung oder Strafe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Kommission steht ein Sekretariat zur Verfügung, das die laufenden Geschäfte der Kommission wahrnimmt und gemäß der Satzung der Kriminologischen Zentralstelle e.V. bei dieser angesiedelt werden soll.</w:t>
      </w:r>
    </w:p>
    <w:p>
      <w:r>
        <w:t xml:space="preserve">(2) Das Personal des Sekretariats wird nur mit Zustimmung der Kommission eingestellt oder entlassen. Es unterliegt in fachlicher Hinsicht nur den Weisungen der Kommission.</w:t>
      </w:r>
    </w:p>
    <w:p>
      <w:r>
        <w:rPr>
          <w:color w:val="555555"/>
          <w:sz w:val="17"/>
        </w:rPr>
        <w:t xml:space="preserve">Zitiervorschlag: Art 5 VT-FOLTERSTV_2010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https://recht.nulegal.eu/gesetze/VT-FOLTERSTV_2010/5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