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VT-AUFGABENERFUELLUNG_BFSG (Brandenburg) — Anwendbares Datenschutzrecht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Verarbeitung personenbezogener Daten durch die Anstalt gelten die im Sitzland anwendbaren datenschutzrechtlichen Vorschriften.</w:t>
      </w:r>
    </w:p>
    <w:p>
      <w:r>
        <w:rPr>
          <w:color w:val="555555"/>
          <w:sz w:val="17"/>
        </w:rPr>
        <w:t xml:space="preserve">Zitiervorschlag: Art 11 VT-AUFGABENERFUELLUNG_BFSG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https://recht.nulegal.eu/gesetze/VT-AUFGABENERFUELLUNG_BFSG/11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