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VT-AUFGABENERFUELLUNG_BFSG (Brandenburg) — Finanzkontrolle</w:t>
      </w:r>
    </w:p>
    <w:p>
      <w:r>
        <w:rPr>
          <w:color w:val="555555"/>
          <w:sz w:val="18"/>
        </w:rPr>
        <w:t xml:space="preserve">Staatsvertrag zur Aufgabenerfüllung nach dem Barrierefreiheitsstärkungsgesetz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Landesrechnungshöfe der Länder sind berechtigt, die Haushalts- und Wirtschaftsführung der Anstalt zu prüfen.</w:t>
      </w:r>
    </w:p>
    <w:p>
      <w:r>
        <w:rPr>
          <w:color w:val="555555"/>
          <w:sz w:val="17"/>
        </w:rPr>
        <w:t xml:space="preserve">Zitiervorschlag: Art 10 VT-AUFGABENERFUELLUNG_BFSG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https://recht.nulegal.eu/gesetze/VT-AUFGABENERFUELLUNG_BFSG/10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