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VT-AUFGABENERFUELLUNG_BFSG (Brandenburg) — Ziel und Anwendungsbereich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Ziel dieses Staatsvertrages ist, die sich aus dem Barrierefreiheitsstärkungsgesetz vom 16. Juli 2021 (BGBl. I S. 2970), zuletzt geändert durch Artikel 32 des Gesetzes vom 6. Mai 2024 (BGBl. 2024 I Nr. 149, S. 34), in der jeweils geltenden Fassung und der darauf beruhenden Verordnungen in den jeweils geltenden Fassungen ergebenden Aufgaben durch eine gemeinsame Länderbehörde auszuführen.</w:t>
      </w:r>
    </w:p>
    <w:p>
      <w:r>
        <w:t xml:space="preserve">(2) Die Länder regeln dazu in diesem Staatsvertrag die Errichtung einer Anstalt des öffentlichen Rechts und legen die Aufgaben, die Finanzierung und Organisation der Anstalt fest.</w:t>
      </w:r>
    </w:p>
    <w:p>
      <w:r>
        <w:rPr>
          <w:color w:val="555555"/>
          <w:sz w:val="17"/>
        </w:rPr>
        <w:t xml:space="preserve">Zitiervorschlag: Art 1 VT-AUFGABENERFUELLUNG_BFSG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https://recht.nulegal.eu/gesetze/VT-AUFGABENERFUELLUNG_BFSG/1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