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VT-AENDSTVFERNUNTERRICHTSWESEN (Brandenburg) — Verwaltungsausschuß</w:t>
      </w:r>
    </w:p>
    <w:p>
      <w:r>
        <w:rPr>
          <w:color w:val="555555"/>
          <w:sz w:val="18"/>
        </w:rPr>
        <w:t xml:space="preserve">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Dem Verwaltungsausschuß gehört je ein Vertreter der Länder an. Jede Landesregierung benennt ein ständiges Mitglied und dessen Stellvertreter.</w:t>
      </w:r>
    </w:p>
    <w:p>
      <w:r>
        <w:t xml:space="preserve">(2) Der Verwaltungsausschuß wählt aus seiner Mitte den Vorsitzenden und dessen Stellvertreter für die Dauer von drei Jahren. Wiederwahl ist zulässig.</w:t>
      </w:r>
    </w:p>
    <w:p>
      <w:r>
        <w:t xml:space="preserve">(3) Der Verwaltungsausschuß entscheidet über alle grundsätzlichen Angelegenheiten der Zentralstelle und überwacht die Geschäftsführung der Zentralstelle. Er kann sämtliche nach diesem Staatsvertrag der Zentralstelle übertragenen Aufgaben an sich ziehen; Artikel 5 Abs. 1 Satz 2 bleibt unberührt. Er beschließt insbesondere</w:t>
      </w:r>
    </w:p>
    <w:p>
      <w:r>
        <w:t xml:space="preserve">Richtlinien für die Arbeit der Zentralstelle,</w:t>
      </w:r>
    </w:p>
    <w:p>
      <w:r>
        <w:t xml:space="preserve">die Geschäftsordnung der Zentralstelle, die der Genehmigung des Kultusministers des Landes Nordrhein-Westfalen bedarf,</w:t>
      </w:r>
    </w:p>
    <w:p>
      <w:r>
        <w:t xml:space="preserve">Empfehlungen zum Entwurf für den Haushaltsvoranschlag der Zentralstelle,</w:t>
      </w:r>
    </w:p>
    <w:p>
      <w:r>
        <w:t xml:space="preserve">seine Stellungnahme vor der Besetzung von Stellen von leitenden Bediensteten.</w:t>
      </w:r>
    </w:p>
    <w:p>
      <w:r>
        <w:t xml:space="preserve">(4) Der Verwaltungsausschuß ist beschlußfähig, wenn mindestens die Hälfte der Ländervertreter nach Absatz 1 anwesend sind. Beschlüsse des Verwaltungsausschusses werden mit Stimmenmehrheit gefaßt; bei Stimmengleichheit entscheidet die Stimme des Vorsitzenden.</w:t>
      </w:r>
    </w:p>
    <w:p>
      <w:r>
        <w:rPr>
          <w:color w:val="555555"/>
          <w:sz w:val="17"/>
        </w:rPr>
        <w:t xml:space="preserve">Zitiervorschlag: Art 4 VT-AENDSTVFERNUNTERRICHTSWESEN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https://recht.nulegal.eu/gesetze/VT-AENDSTVFERNUNTERRICHTSWESEN/4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