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VT-ABKSEERECHTLVERTLG_1993 (Brandenburg)</w:t>
      </w:r>
    </w:p>
    <w:p>
      <w:r>
        <w:rPr>
          <w:color w:val="555555"/>
          <w:sz w:val="18"/>
        </w:rPr>
        <w:t xml:space="preserve">Abkommen über die Zuständigkeit des Amtsgerichts Hamburg für die seerechtlichen Verteilungsverfahren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Das Abkommen kann mit einer Frist von sechs Monaten zum Ende eines Kalenderjahres gekündigt werden, und zwar sowohl von der Freien und Hansestadt Hamburg gegenüber allen oder einzelnen Ländern als auch von den einzelnen Ländern gegenüber der Freien und Hansestadt Hamburg.</w:t>
      </w:r>
    </w:p>
    <w:p>
      <w:r>
        <w:rPr>
          <w:color w:val="555555"/>
          <w:sz w:val="17"/>
        </w:rPr>
        <w:t xml:space="preserve">Zitiervorschlag: § 4 VT-ABKSEERECHTLVERTLG_1993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https://recht.nulegal.eu/gesetze/VT-ABKSEERECHTLVERTLG_1993/4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