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VT-ABKINSTFMEDPHARPRUEFFR_2003 (Brandenburg)</w:t>
      </w:r>
    </w:p>
    <w:p>
      <w:r>
        <w:rPr>
          <w:color w:val="555555"/>
          <w:sz w:val="18"/>
        </w:rPr>
        <w:t xml:space="preserve">Abkommen über die Errichtung und Finanzierung des Instituts für medizinische und pharmazeutische Prüfungsfragen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Verwaltungsrat gehört je ein Vertreter der vertragschließenden Länder an, der von dem für das Gesundheitswesen zuständigen Minister (Senator) bestimmt wird. Je einen weiteren Vertreter benennen die für das Finanzwesen und das Hochschulwesen zuständigen Minister des Landes Rheinland-Pfalz. Für jedes Mitglied des Verwaltungsrates wird ein Vertreter von dem zuständigen Minister (Senator) bestimmt.</w:t>
      </w:r>
    </w:p>
    <w:p>
      <w:r>
        <w:t xml:space="preserve">(2) Jedes der vertragschließenden Länder hat eine Stimme. Der Verwaltungsrat faßt seine Beschlüsse mit der Mehrheit seiner Stimmen, soweit in diesem Abkommen nichts anders vorgesehen ist.</w:t>
      </w:r>
    </w:p>
    <w:p>
      <w:r>
        <w:t xml:space="preserve">(3) Der Verwaltungsrat wählt auf die Dauer von zwei Jahren aus seiner Mitte den Vorsitzenden und dessen Stellvertreter. Wiederwahl ist zulässig.</w:t>
      </w:r>
    </w:p>
    <w:p>
      <w:r>
        <w:t xml:space="preserve">(4) Der Verwaltungsrat tritt mindestens einmal im Jahr zu einer ordentlichen Sitzung zusammen. Auf Antrag eines Vertreters der vertragschließenden Länder muß er unverzüglich, spätestens jedoch innerhalb von sechs Wochen, zu einer außerordentlichen Sitzung zusammentreten. Der Vorsitzende des Verwaltungsrates beruft unter Übersendung der Tagesordnung die Sitzungen ein und leitet sie.</w:t>
      </w:r>
    </w:p>
    <w:p>
      <w:r>
        <w:t xml:space="preserve">(5) Der Verwaltungsrat gibt sich eine Geschäftsordnung.</w:t>
      </w:r>
    </w:p>
    <w:p>
      <w:r>
        <w:rPr>
          <w:color w:val="555555"/>
          <w:sz w:val="17"/>
        </w:rPr>
        <w:t xml:space="preserve">Zitiervorschlag: Art 5 VT-ABKINSTFMEDPHARPRUEFFR_2003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https://recht.nulegal.eu/gesetze/VT-ABKINSTFMEDPHARPRUEFFR_2003/5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