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VT-ABKINSTFMEDPHARPRUEFFR_2003 (Brandenburg)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Institut ist in seiner Haushaltswirtschaft selbständig, soweit dieses Abkommen nichts anderes bestimmt.</w:t>
      </w:r>
    </w:p>
    <w:p>
      <w:r>
        <w:t xml:space="preserve">(2) Die Haushaltswirtschaft richtet sich nach den in Rheinland-Pfalz geltenden haushaltsrechtlichen Vorschriften. Der Haushalt ist nach den Grundsätzen der Sparsamkeit und der Wirtschaftlichkeit aufzustellen und auszuführen.</w:t>
      </w:r>
    </w:p>
    <w:p>
      <w:r>
        <w:t xml:space="preserve">(3) Die Haushalts- und Wirtschaftsführung unterliegt der Prüfung des Rechnungshofes Rheinland-Pfalz. Die Prüfungsberichte sind dem Leiter des Instituts, dem Vorsitzenden des Verwaltungsrats, den für das Gesundheitswesen zuständigen Ministern (Senatoren) und den für das Finanzwesen zuständigen Ministern (Senatoren) der Länder zuzuleiten.</w:t>
      </w:r>
    </w:p>
    <w:p>
      <w:r>
        <w:rPr>
          <w:color w:val="555555"/>
          <w:sz w:val="17"/>
        </w:rPr>
        <w:t xml:space="preserve">Zitiervorschlag: Art 12 VT-ABKINSTFMEDPHARPRUEFFR_2003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https://recht.nulegal.eu/gesetze/VT-ABKINSTFMEDPHARPRUEFFR_2003/12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