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VT-ABKGSCHMEDPRO_2013 (Brandenburg) — Schiedsklausel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Schiedsvertrag; er ist Bestandteil des Abkommens.</w:t>
      </w:r>
    </w:p>
    <w:p>
      <w:r>
        <w:rPr>
          <w:color w:val="555555"/>
          <w:sz w:val="17"/>
        </w:rPr>
        <w:t xml:space="preserve">Zitiervorschlag: Art 6 VT-ABKGSCHMEDPRO_2013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https://recht.nulegal.eu/gesetze/VT-ABKGSCHMEDPRO_2013/6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