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VT-ABKGSCHMEDPRO_2013 (Brandenburg) — Finanzierung</w:t>
      </w:r>
    </w:p>
    <w:p>
      <w:r>
        <w:rPr>
          <w:color w:val="555555"/>
          <w:sz w:val="18"/>
        </w:rPr>
        <w:t xml:space="preserve">Abkommen über die Zentralstelle der Länder für Gesundheitsschutz bei Arzneimitteln und Medizinprodukten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ZLG erhebt für ihre Tätigkeit im Rahmen der Benennung, Überwachung und Anerkennung kostendeckende Gebühren und Auslagen. Für ihre Tätigkeiten im Rahmen des Gesetzes über die Akkreditierungsstelle macht die ZLG den kostendeckenden Aufwand bei der nationalen Akkreditierungsstelle geltend.</w:t>
      </w:r>
    </w:p>
    <w:p>
      <w:r>
        <w:t xml:space="preserve">(2) Soweit die ZLG darüber hinaus Aufgaben wahrnimmt, die Gebührentatbeständen und -schuldnern nicht konkret zugerechnet werden können, wird im Rahmen der jährlichen Haushaltsverhandlungen ein Pauschalbetrag bestimmt und zwischen den Ländern aufgeteilt. Das Sitzland trägt vorweg eine Sitzlandquote. Diese beträgt zehn von Hundert des ungedeckten Finanzbedarfs nach Satz 1. Der vom Beirat vorberatene Haushaltsentwurf bedarf ab dem Haushalt 1994 der Zustimmung der Finanzministerinnen und -minister, -senatorinnen und -senatoren der Länder mit einer Mehrheit von zwei Dritteln der Stimmen. Das Sitzland verpflichtet sich, den Haushalt der ZLG entsprechend dem Beschluß der Finanzministerinnen und -minister, -senatorinnen und -senatoren der Länder in seinen Haushaltsplan aufzunehmen.</w:t>
      </w:r>
    </w:p>
    <w:p>
      <w:r>
        <w:t xml:space="preserve">(3) Das Anteilsverhältnis unter allen Ländern wird zu zwei Dritteln nach dem Verhältnis ihrer Steuereinnahmen und zu einem Drittel nach dem Verhältnis ihrer Bevölkerungszahl errechnet. Die Steuereinnahmen erhöhen und vermindern sich um die Beträge, welche die Länder im Rahmen eines allgemeinen Finanzausgleichs von anderen Ländern erhalten oder an andere Länder abführen. Als Steuereinnahmen gelten die im Länderfinanzausgleich zugrundegelegten Steuereinnahmen der Länder. Maßgebend sind die Steuereinnahmen des dem Haushaltsjahr zwei Jahre vorhergehenden Haushaltsjahres und die vom Statistischen Bundesamt für den 30. Juni desselben Jahres festgestellte Bevölkerungszahl.</w:t>
      </w:r>
    </w:p>
    <w:p>
      <w:r>
        <w:t xml:space="preserve">(4) Die Beiträge der Länder werden im Laufe eines jeden Haushaltsjahres zum 31. Mai nach den Ansätzen des Haushaltsplanes fällig. Über- und Minderzahlungen gegenüber dem sich nach der Jahresrechnung ergebenden Finanzbedarf werden im ersten der Abrechnung folgenden Haushaltsjahr ausgeglichen.</w:t>
      </w:r>
    </w:p>
    <w:p>
      <w:r>
        <w:rPr>
          <w:color w:val="555555"/>
          <w:sz w:val="17"/>
        </w:rPr>
        <w:t xml:space="preserve">Zitiervorschlag: Art 5 VT-ABKGSCHMEDPRO_2013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https://recht.nulegal.eu/gesetze/VT-ABKGSCHMEDPRO_2013/5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