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VT-ABKAKADGRADE_1995 (Brandenburg)</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Erteilung der Genehmigung ist dasjenige der vertragschließenden Länder zuständig, in dem der Antragsteller seinen gewöhnlichen Aufenthalt hat.</w:t>
      </w:r>
    </w:p>
    <w:p>
      <w:r>
        <w:t xml:space="preserve">(2) ändern sich im Lauf des Verwaltungsverfahrens die die Zuständigkeit begründenden Umstände, so kann das bisher zuständige Land das Verwaltungsverfahren fortführen, wenn dies unter Wahrung der Interessen der Beteiligten der einfachen und zweckmäßigen Durchführung des Verfahrens dient und das nunmehr zuständige Land zustimmt.</w:t>
      </w:r>
    </w:p>
    <w:p>
      <w:r>
        <w:t xml:space="preserve">(3) Für die Rücknahme oder den Widerruf der Genehmigung, für die Entgegennahme eines Verzichts auf die Genehmigung und für die Entscheidung über das Wiederaufgreifen des Verfahrens ist dasjenige der vertragschließenden Länder zuständig, das die Genehmigung erteilt bzw. versagt hat. Ist eine Entscheidung nach Satz 1 in Bezug auf einen Verwaltungsakt der ehemaligen Deutschen Demokratischen Republik oder der GEL (1) zu treffen, so ist dasjenige der vertragschließenden Länder zuständig, in dessen Gebiet der Adressat des Verwaltungsakts zum Zeitpunkt des Erlasses seinen gewöhnlichen Aufenthalt hatte; hatte er zu diesem Zeitpunkt seinen gewöhnlichen Aufenthalt nicht in dem in Art. 3 des Einigungsvertrages (BGBl. 1990 II S. 885) genannten Gebiet, so ist der letzte gewöhnliche Aufenthalt in diesem Gebiet maßgeblich.</w:t>
      </w:r>
    </w:p>
    <w:p>
      <w:r>
        <w:t xml:space="preserve">(4) Für die Aufhebung rechtsstaatswidriger Entscheidungen nach Art. 19 Satz 2 des Einigungsvertrages gilt Absatz 3 Satz 2 entsprechend.</w:t>
      </w:r>
    </w:p>
    <w:p>
      <w:r>
        <w:rPr>
          <w:color w:val="555555"/>
          <w:sz w:val="17"/>
        </w:rPr>
        <w:t xml:space="preserve">Zitiervorschlag: Art 2 VT-ABKAKADGRADE_1995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https://recht.nulegal.eu/gesetze/VT-ABKAKADGRADE_1995/2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