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VStG 1974 — Steuerpflichtiges Vermögen</w:t>
      </w:r>
    </w:p>
    <w:p>
      <w:r>
        <w:rPr>
          <w:color w:val="555555"/>
          <w:sz w:val="18"/>
        </w:rPr>
        <w:t xml:space="preserve">Vermögensteuergesetz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Steuerpflichtiges Vermögen ist</w:t>
      </w:r>
    </w:p>
    <w:p>
      <w:pPr>
        <w:ind w:left="420"/>
      </w:pPr>
      <w:r>
        <w:t xml:space="preserve">1. bei unbeschränkt Steuerpflichtigen</w:t>
      </w:r>
    </w:p>
    <w:p>
      <w:pPr>
        <w:ind w:left="780"/>
      </w:pPr>
      <w:r>
        <w:t xml:space="preserve">a) bei natürlichen Personender Vermögensbetrag, der nach Abzug der Freibeträge (§ 6) vom Gesamtvermögen (§ 4) verbleibt,</w:t>
      </w:r>
    </w:p>
    <w:p>
      <w:pPr>
        <w:ind w:left="780"/>
      </w:pPr>
      <w:r>
        <w:t xml:space="preserve">b) bei Körperschaften, Personenvereinigungen und Vermögensmassen (§ 1 Abs. 1 Nr. 2) mit mindestens 20.000 Deutsche Mark Gesamtvermögen das Gesamtvermögen (§ 4);</w:t>
      </w:r>
    </w:p>
    <w:p>
      <w:pPr>
        <w:ind w:left="420"/>
      </w:pPr>
      <w:r>
        <w:t xml:space="preserve">2. bei beschränkt Steuerpflichtigen mit mindestens 20.000 Deutsche Mark Inlandsvermögen das Inlandsvermögen (§ 4).</w:t>
      </w:r>
    </w:p>
    <w:p>
      <w:r>
        <w:rPr>
          <w:color w:val="555555"/>
          <w:sz w:val="17"/>
        </w:rPr>
        <w:t xml:space="preserve">Zitiervorschlag: § 9 VStG 1974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https://recht.nulegal.eu/gesetze/VStG%201974/9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