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VStG 1974 — Besteuerungsgrenze bei Körperschaften und bei beschränkt Steuerpflichtigen</w:t>
      </w:r>
    </w:p>
    <w:p>
      <w:r>
        <w:rPr>
          <w:color w:val="555555"/>
          <w:sz w:val="18"/>
        </w:rPr>
        <w:t xml:space="preserve">Vermögensteuergesetz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den unbeschränkt steuerpflichtigen Körperschaften, Personenvereinigungen und Vermögensmassen im Sinne des § 1 Abs. 1 Nr. 2 wird die Vermögensteuer nur erhoben, wenn das Gesamtvermögen (§ 4) mindestens 20.000 Deutsche Mark beträgt.</w:t>
      </w:r>
    </w:p>
    <w:p>
      <w:r>
        <w:t xml:space="preserve">(2) Von den beschränkt Steuerpflichtigen wird die Vermögensteuer nur erhoben, wenn das Inlandsvermögen (§ 4) mindestens 20.000 Deutsche Mark beträgt.</w:t>
      </w:r>
    </w:p>
    <w:p>
      <w:r>
        <w:rPr>
          <w:color w:val="555555"/>
          <w:sz w:val="17"/>
        </w:rPr>
        <w:t xml:space="preserve">Zitiervorschlag: § 8 VStG 1974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https://recht.nulegal.eu/gesetze/VStG%201974/8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