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VStG 1974 — Freibeträge für natürliche Personen</w:t>
      </w:r>
    </w:p>
    <w:p>
      <w:r>
        <w:rPr>
          <w:color w:val="555555"/>
          <w:sz w:val="18"/>
        </w:rPr>
        <w:t xml:space="preserve">Vermögensteuergesetz</w:t>
      </w:r>
    </w:p>
    <w:p>
      <w:r>
        <w:rPr>
          <w:color w:val="555555"/>
          <w:sz w:val="18"/>
        </w:rPr>
        <w:t xml:space="preserve">Stand: 10.06.2019 (konsolidierte Textfassung, kein amtliches Inkrafttretensdatum)</w:t>
      </w:r>
    </w:p>
    <w:p>
      <w:r>
        <w:t xml:space="preserve">(1) Bei der Veranlagung einer unbeschränkt steuerpflichtigen natürlichen Person bleiben 120.000 Deutsche Mark und im Falle der Zusammenveranlagung von Ehegatten 240.000 Deutsche Mark vermögensteuerfrei.</w:t>
      </w:r>
    </w:p>
    <w:p>
      <w:r>
        <w:t xml:space="preserve">(2) Für jedes Kind, das mit einem Steuerpflichtigen oder mit Ehegatten zusammen veranlagt wird, sind weitere 120.000 Deutsche Mark vermögensteuerfrei. Kinder im Sinne des Gesetzes sind eheliche Kinder, für ehelich erklärte Kinder, nichteheliche Kinder, Stiefkinder, Adoptivkinder und Pflegekinder.</w:t>
      </w:r>
    </w:p>
    <w:p>
      <w:r>
        <w:t xml:space="preserve">(3) Weitere 50.000 Deutsche Mark sind steuerfrei, wenn der Steuerpflichtige das 60. Lebensjahr vollendet hat oder voraussichtlich für mindestens drei Jahre behindert im Sinne des Schwerbehindertengesetzes mit einem Grad der Behinderung von 100 ist. Werden mehrere Steuerpflichtige zusammen veranlagt (§ 14 des Vermögensteuergesetzes), wird der Freibetrag mit der Zahl der zusammen veranlagten Steuerpflichtigen, bei denen die Voraussetzungen des Satzes 1 vorliegen, vervielfacht.</w:t>
      </w:r>
    </w:p>
    <w:p>
      <w:r>
        <w:t xml:space="preserve">(4)</w:t>
      </w:r>
    </w:p>
    <w:p>
      <w:r>
        <w:rPr>
          <w:color w:val="555555"/>
          <w:sz w:val="17"/>
        </w:rPr>
        <w:t xml:space="preserve">Zitiervorschlag: § 6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