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VStG 1974 — Stichtag für die Festsetzung der Vermögensteuer, Entstehung der Steuer</w:t>
      </w:r>
    </w:p>
    <w:p>
      <w:r>
        <w:rPr>
          <w:color w:val="555555"/>
          <w:sz w:val="18"/>
        </w:rPr>
        <w:t xml:space="preserve">Vermögensteuergesetz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Vermögensteuer wird nach den Verhältnissen zu Beginn des Kalenderjahrs (Veranlagungszeitpunkt, §§ 15 bis 17) festgesetzt.</w:t>
      </w:r>
    </w:p>
    <w:p>
      <w:r>
        <w:t xml:space="preserve">(2) Die Steuer entsteht mit Beginn des Kalenderjahrs, für das die Steuer festzusetzen ist.</w:t>
      </w:r>
    </w:p>
    <w:p>
      <w:r>
        <w:rPr>
          <w:color w:val="555555"/>
          <w:sz w:val="17"/>
        </w:rPr>
        <w:t xml:space="preserve">Zitiervorschlag: § 5 VStG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https://recht.nulegal.eu/gesetze/VStG%201974/5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