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VStG 1974 — Bemessungsgrundlage</w:t>
      </w:r>
    </w:p>
    <w:p>
      <w:r>
        <w:rPr>
          <w:color w:val="555555"/>
          <w:sz w:val="18"/>
        </w:rPr>
        <w:t xml:space="preserve">Vermögensteuergesetz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Vermögensteuer unterliegt</w:t>
      </w:r>
    </w:p>
    <w:p>
      <w:pPr>
        <w:ind w:left="420"/>
      </w:pPr>
      <w:r>
        <w:t xml:space="preserve">1. bei unbeschränkt Steuerpflichtigen das Gesamtvermögen (§§ 114 bis 120 des Bewertungsgesetzes);</w:t>
      </w:r>
    </w:p>
    <w:p>
      <w:pPr>
        <w:ind w:left="420"/>
      </w:pPr>
      <w:r>
        <w:t xml:space="preserve">2. bei beschränkt Steuerpflichtigen das Inlandsvermögen (§ 121 des Bewertungsgesetzes).</w:t>
      </w:r>
    </w:p>
    <w:p>
      <w:r>
        <w:t xml:space="preserve">(2) Der Wert des Gesamtvermögens oder des Inlandsvermögens wird auf volle tausend Deutsche Mark nach unten abgerundet.</w:t>
      </w:r>
    </w:p>
    <w:p>
      <w:r>
        <w:rPr>
          <w:color w:val="555555"/>
          <w:sz w:val="17"/>
        </w:rPr>
        <w:t xml:space="preserve">Zitiervorschlag: § 4 VStG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https://recht.nulegal.eu/gesetze/VStG%201974/4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