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VStG 1974 — Befreiungen</w:t>
      </w:r>
    </w:p>
    <w:p>
      <w:r>
        <w:rPr>
          <w:color w:val="555555"/>
          <w:sz w:val="18"/>
        </w:rPr>
        <w:t xml:space="preserve">Vermögensteuergesetz</w:t>
      </w:r>
    </w:p>
    <w:p>
      <w:r>
        <w:rPr>
          <w:color w:val="555555"/>
          <w:sz w:val="18"/>
        </w:rPr>
        <w:t xml:space="preserve">Stand: 10.06.2019 (konsolidierte Textfassung, kein amtliches Inkrafttretensdatum)</w:t>
      </w:r>
    </w:p>
    <w:p>
      <w:r>
        <w:t xml:space="preserve">(1) Von der Vermögensteuer sind befreit</w:t>
      </w:r>
    </w:p>
    <w:p>
      <w:pPr>
        <w:ind w:left="420"/>
      </w:pPr>
      <w:r>
        <w:t xml:space="preserve">1. die Deutsche Post AG, die Deutsche Postbank AG, die Deutsche Telekom AG, das Bundeseisenbahnvermögen, die Monopolverwaltungen des Bundes, die staatlichen Lotterieunternehmen und der Erdölbevorratungsverband nach § 2 Abs. 1 des Erdölbevorratungsgesetzes in der Fassung der Bekanntmachung vom 8. Dezember 1987 (BGBl. I S. 2510)</w:t>
      </w:r>
    </w:p>
    <w:p>
      <w:r>
        <w:t xml:space="preserve">1a.</w:t>
      </w:r>
    </w:p>
    <w:p>
      <w:pPr>
        <w:ind w:left="420"/>
      </w:pPr>
      <w:r>
        <w:t xml:space="preserve">2. die Deutsche Bundesbank, die Kreditanstalt für Wiederaufbau, die Deutsche Ausgleichsbank, die Landwirtschaftliche Rentenbank, die Bayerische Landesanstalt für Aufbaufinanzierung, die Hessische Landesentwicklungs- und Treuhandgesellschaft mit beschränkter Haftung, die Niedersächsische Gesellschaft für öffentliche Finanzierungen mit beschränkter Haftung, die Finanzierungs-Aktiengesellschaft Rheinland-Pfalz, die Hanseatische Gesellschaft für öffentliche Finanzierungen mit beschränkter Haftung Bremen, die Landeskreditbank Baden-Württemberg-Förderungsanstalt, die Bayerische Landesbodenkreditanstalt, die Investitionsbank Berlin - Anstalt der Landesbank Berlin-Girozentrale -, die Hamburgische Wohnungsbaukreditanstalt, die Niedersächsische Landestreuhandstelle für den Wohnungs- und Städtebau, die Wohnungsbauförderungsanstalt Nordrhein-Westfalen - Anstalt der Westdeutschen Landesbank Girozentrale -, die Niedersächsische Landestreuhandstelle für Wirtschaftsförderung Norddeutsche Landesbank, die Landestreuhandstelle für Agrarförderung Norddeutsche Landesbank, die Saarländische Investitionskreditbank Aktiengesellschaft, die Investitionsbank Schleswig-Holstein - Zentralbereich der Landesbank Schleswig-Holstein Girozentrale -, die Investitionsbank des Landes Brandenburg, die Sächsische Aufbaubank, die Sächsische Aufbaubank GmbH, die Thüringer Aufbaubank, das Landesförderinstitut Sachsen-Anhalt - Geschäftsbereich der Norddeutschen Landesbank Girozentrale Mitteldeutsche Landesbank -, die Investitions- und Strukturbank Rheinland-Pfalz, das Landesförderinstitut Mecklenburg-Vorpommern - Geschäftsbereich der Norddeutschen Landesbank Girozentrale - und die Liquiditäts-Konsortialbank Gesellschaft mit beschränkter Haftung;</w:t>
      </w:r>
    </w:p>
    <w:p>
      <w:pPr>
        <w:ind w:left="420"/>
      </w:pPr>
      <w:r>
        <w:t xml:space="preserve">2a. die Staatsbank Berlin, die Treuhandanstalt;</w:t>
      </w:r>
    </w:p>
    <w:p>
      <w:pPr>
        <w:ind w:left="420"/>
      </w:pPr>
      <w:r>
        <w:t xml:space="preserve">3. Unternehmen, die durch Staatsverträge verpflichtet sind, die Erträge ihres Vermögens zur Aufbringung der Mittel für die Errichtung von Bundeswasserstraßen zu verwenden, sowie Unternehmen, deren Erträge ganz oder teilweise einem solchen Unternehmen zufließen, solange und soweit das Vermögen der Unternehmen ausschließlich diesem Zweck dient; § 101 des Bewertungsgesetzes findet keine Anwendung;</w:t>
      </w:r>
    </w:p>
    <w:p>
      <w:pPr>
        <w:ind w:left="420"/>
      </w:pPr>
      <w:r>
        <w:t xml:space="preserve">4. Einrichtungen, die unmittelbar dem Unterrichts-, Erziehungs- und Bildungswesen, der körperlichen Ertüchtigung, der Kranken-, Gesundheits-, Wohlfahrts- und Jugendpflege dienen, ohne Rücksicht auf die Rechtsform, in der sie bestehen, wenn sie gehören</w:t>
      </w:r>
    </w:p>
    <w:p>
      <w:pPr>
        <w:ind w:left="780"/>
      </w:pPr>
      <w:r>
        <w:t xml:space="preserve">a) dem Bund, einem Land, einer Gemeinde, einem Gemeindeverband, einem Zweckverband oder Sozialversicherungsträgern,</w:t>
      </w:r>
    </w:p>
    <w:p>
      <w:pPr>
        <w:ind w:left="780"/>
      </w:pPr>
      <w:r>
        <w:t xml:space="preserve">b) den Religionsgesellschaften, die Körperschaften des öffentlichen Rechts sind, sowie ihren Einrichtungen;</w:t>
      </w:r>
    </w:p>
    <w:p>
      <w:pPr>
        <w:ind w:left="420"/>
      </w:pPr>
      <w:r>
        <w:t xml:space="preserve">5. rechtsfähige Pensions-, Sterbe-, Kranken- und Unterstützungskassen im Sinne des § 5 Abs. 1 Nr. 3 des Körperschaftsteuergesetzes, soweit sie die für eine Befreiung von der Körperschaftsteuer erforderlichen Voraussetzungen erfüllen. In den Fällen des § 6 Abs. 1, 3 und 5 des Körperschaftsteuergesetzes besteht Steuerpflicht jeweils für das Kalenderjahr, das einem Kalenderjahr folgt, für das die Kasse körperschaftsteuerpflichtig ist. In diesen Fällen werden bei der Ermittlung des Betriebsvermögens oder des Gesamtvermögens noch nicht erbrachte Leistungen der Kasse nicht abgezogen. Von dem Gesamtvermögen ist der Teil anzusetzen, der dem Verhältnis entspricht, in dem der übersteigende Betrag im Sinne des § 6 Abs. 1 oder 5 des Körperschaftsteuergesetzes zu dem Vermögen im Sinne des § 5 Abs. 1 Nr. 3 Buchstabe d oder e des Körperschaftsteuergesetzes steht;</w:t>
      </w:r>
    </w:p>
    <w:p>
      <w:pPr>
        <w:ind w:left="420"/>
      </w:pPr>
      <w:r>
        <w:t xml:space="preserve">6. kleinere Versicherungsvereine auf Gegenseitigkeit im Sinne des § 53 des Versicherungsaufsichtsgesetzes, wenn sie die für eine Befreiung von der Körperschaftsteuer erforderlichen Voraussetzungen erfüllen;</w:t>
      </w:r>
    </w:p>
    <w:p>
      <w:pPr>
        <w:ind w:left="420"/>
      </w:pPr>
      <w:r>
        <w:t xml:space="preserve">6a. der Pensions-Sicherungs-Verein Versicherungsverein auf Gegenseitigkeit, wenn er die für eine Befreiung von der Körperschaftsteuer erforderlichen Voraussetzungen erfüllt;</w:t>
      </w:r>
    </w:p>
    <w:p>
      <w:pPr>
        <w:ind w:left="420"/>
      </w:pPr>
      <w:r>
        <w:t xml:space="preserve">7. Erwerbs- und Wirtschaftsgenossenschaften sowie Vereine im Sinne des § 5 Abs. 1 Nr. 14 des Körperschaftsteuergesetzes, soweit sie von der Körperschaftsteuer befreit sind. In den Fällen des Verzichts nach § 54 Abs. 5 Satz 1 des Körperschaftsteuergesetzes besteht die Steuerpflicht jeweils für das Kalenderjahr, für das auf die Steuerbefreiung verzichtet wird. In den Fällen des Widerrufs nach § 54 Abs. 5 Satz 3 des Körperschaftsteuergesetzes tritt die Steuerbefreiung für das Kalenderjahr ein, für das er gelten soll;</w:t>
      </w:r>
    </w:p>
    <w:p>
      <w:pPr>
        <w:ind w:left="420"/>
      </w:pPr>
      <w:r>
        <w:t xml:space="preserve">7a. landwirtschaftliche Produktionsgenossenschaften und deren Rechtsnachfolger in der Rechtsform der Genossenschaft, wenn sie von der Gewerbesteuer befreit sind;</w:t>
      </w:r>
    </w:p>
    <w:p>
      <w:pPr>
        <w:ind w:left="420"/>
      </w:pPr>
      <w:r>
        <w:t xml:space="preserve">8. Berufsverbände ohne öffentlich-rechtlichen Charakter sowie kommunale Spitzenverbände auf Bundes- oder Landesebene einschließlich ihrer Zusammenschlüsse, wenn der Zweck dieser Verbände nicht auf einen wirtschaftlichen Geschäftsbetrieb gerichtet ist. Die Steuerbefreiung ist ausgeschlossen,</w:t>
      </w:r>
    </w:p>
    <w:p>
      <w:pPr>
        <w:ind w:left="780"/>
      </w:pPr>
      <w:r>
        <w:t xml:space="preserve">a) soweit die Körperschaften oder Personenvereinigungen einen wirtschaftlichen Geschäftsbetrieb unterhalten oder</w:t>
      </w:r>
    </w:p>
    <w:p>
      <w:pPr>
        <w:ind w:left="780"/>
      </w:pPr>
      <w:r>
        <w:t xml:space="preserve">b) wenn die Berufsverbände Mittel von mehr als 10 vom Hundert der Einnahmen für die unmittelbare oder mittelbare Unterstützung oder Förderung politischer Parteien verwenden.</w:t>
      </w:r>
    </w:p>
    <w:p>
      <w:pPr>
        <w:ind w:left="420"/>
      </w:pPr>
      <w:r>
        <w:t xml:space="preserve">Die Sätze 1 und 2 gelten auch für Zusammenschlüsse von juristischen Personen des öffentlichen Rechts, die wie die Berufsverbände allgemeine ideelle und wirtschaftliche Interessen ihrer Mitglieder wahrnehmen;</w:t>
      </w:r>
    </w:p>
    <w:p>
      <w:pPr>
        <w:ind w:left="420"/>
      </w:pPr>
      <w:r>
        <w:t xml:space="preserve">9. Körperschaften oder Personenvereinigungen, deren Hauptzweck die Verwaltung des Vermögens für einen nichtrechtsfähigen Berufsverband der in Nummer 8 bezeichneten Art ist, sofern ihre Erträge im wesentlichen aus dieser Vermögensverwaltung herrühren und ausschließlich dem Berufsverband zufließen;</w:t>
      </w:r>
    </w:p>
    <w:p>
      <w:pPr>
        <w:ind w:left="420"/>
      </w:pPr>
      <w:r>
        <w:t xml:space="preserve">10. politische Parteien im Sinne des § 2 des Parteiengesetzes und ihre Gebietsverbände. Wird ein wirtschaftlicher Geschäftsbetrieb unterhalten, so ist die Steuerbefreiung insoweit ausgeschlossen;</w:t>
      </w:r>
    </w:p>
    <w:p>
      <w:pPr>
        <w:ind w:left="420"/>
      </w:pPr>
      <w:r>
        <w:t xml:space="preserve">11. öffentlich-rechtliche Versicherungs- und Versorgungseinrichtungen von Berufsgruppen, deren Angehörige auf Grund einer durch Gesetz angeordneten oder auf Gesetz beruhenden Verpflichtung Mitglieder dieser Einrichtungen sind, wenn die Satzung der Einrichtung die Zahlung keiner höheren jährlichen Beiträge zuläßt als das Zwölffache der Beiträge, die sich bei einer Beitragsbemessungsgrundlage in Höhe der doppelten monatlichen Beitragsbemessungsgrenze in der Rentenversicherung der Arbeiter und Angestellten ergeben würden. Ermöglicht die Satzung der Einrichtung nur Pflichtmitgliedschaften sowie freiwillige Mitgliedschaften, die unmittelbar an eine Pflichtmitgliedschaft anschließen, so steht dies der Steuerbefreiung nicht entgegen, wenn die Satzung die Zahlung keiner höheren jährlichen Beiträge zuläßt als das Fünfzehnfache der Beiträge, die sich bei einer Beitragsbemessungsgrundlage in Höhe der doppelten monatlichen Beitragsbemessungsgrenze in der Rentenversicherung der Arbeiter und Angestellten ergeben würden;</w:t>
      </w:r>
    </w:p>
    <w:p>
      <w:pPr>
        <w:ind w:left="420"/>
      </w:pPr>
      <w:r>
        <w:t xml:space="preserve">12. Körperschaften, Personenvereinigungen und Vermögensmassen, die nach der Satzung, dem Stiftungsgeschäft oder der sonstigen Verfassung und nach der tatsächlichen Geschäftsführung ausschließlich und unmittelbar gemeinnützigen, mildtätigen oder kirchlichen Zwecken dienen. Wird ein wirtschaftlicher Geschäftsbetrieb unterhalten, ist die Steuerfreiheit insoweit ausgeschlossen. Satz 2 gilt nicht für die selbstbewirtschaftete forstwirtschaftliche Nutzung eines Betriebs der Land- und Forstwirtschaft (§ 34 des Bewertungsgesetzes) und für Nebenbetriebe im Sinne des § 42 des Bewertungsgesetzes, die dieser Nutzung dienen;</w:t>
      </w:r>
    </w:p>
    <w:p>
      <w:pPr>
        <w:ind w:left="420"/>
      </w:pPr>
      <w:r>
        <w:t xml:space="preserve">13. Erwerbs- und Wirtschaftsgenossenschaften sowie Vereine im Sinne des § 5 Abs. 1 Nr. 10 des Körperschaftsteuergesetzes, soweit sie von der Körperschaftsteuer befreit sind. In den Fällen des Verzichts nach § 54 Abs. 5 Satz 1 des Körperschaftsteuergesetzes besteht die Steuerpflicht jeweils für das Kalenderjahr, für das auf die Steuerbefreiung verzichtet wird. In den Fällen des Widerrufs nach § 54 Abs. 5 Satz 3 des Körperschaftsteuergesetzes tritt die Steuerbefreiung für das Kalenderjahr ein, für das er gelten soll;</w:t>
      </w:r>
    </w:p>
    <w:p>
      <w:r>
        <w:t xml:space="preserve">14. (weggefallen);</w:t>
      </w:r>
    </w:p>
    <w:p>
      <w:pPr>
        <w:ind w:left="420"/>
      </w:pPr>
      <w:r>
        <w:t xml:space="preserve">15. die von den zuständigen Landesbehörden begründeten oder anerkannten gemeinnützigen Siedlungsunternehmen im Sinne des Reichssiedlungsgesetzes in der im Bundesgesetzblatt Teil III, Gliederungsnummer 2331-1, veröffentlichen bereinigten Fassung, zuletzt geändert durch Artikel 2 Nr. 24 des Gesetzes vom 8. Dezember 1986 (BGBl. I S. 2191), und im Sinne der Bodenreformgesetze der Länder, soweit die Unternehmen im ländlichen Raum Siedlungs-, Agrarstrukturverbesserungs- und Landentwicklungsmaßnahmen mit Ausnahme des Wohnungsbaus durchführen. Die Steuerbefreiung ist ausgeschlossen, wenn die Einnahmen des Unternehmens aus den in Satz 1 nicht bezeichneten Tätigkeiten die Einnahmen aus den in Satz 1 bezeichneten Tätigkeiten übersteigen;</w:t>
      </w:r>
    </w:p>
    <w:p>
      <w:pPr>
        <w:ind w:left="420"/>
      </w:pPr>
      <w:r>
        <w:t xml:space="preserve">16. Bürgschaftsbanken (Kreditgarantiegemeinschaften) im Sinne des § 5 Abs. 1 Nr. 17 des Körperschaftsteuergesetzes, wenn sie die für eine Befreiung von der Körperschaftsteuer erforderlichen Voraussetzungen erfüllen;</w:t>
      </w:r>
    </w:p>
    <w:p>
      <w:pPr>
        <w:ind w:left="420"/>
      </w:pPr>
      <w:r>
        <w:t xml:space="preserve">17. Körperschaften, Personenvereinigungen und Vermögensmassen, die als Sicherungseinrichtung eines Verbandes der Kreditinstitute nach ihrer Satzung oder sonstigen Verfassung ausschließlich den Zweck haben, bei Gefahr für die Erfüllung der Verpflichtungen eines Kreditinstituts Hilfe zu leisten. Voraussetzung ist, daß das Vermögen und etwa erzielte Überschüsse nur zur Erreichung des satzungsmäßigen Zwecks verwendet werden. Die Sätze 1 und 2 gelten entsprechend für Einrichtungen zur Sicherung von Spareinlagen bei Unternehmen, die am 31. Dezember 1989 als gemeinnützige Wohnungsunternehmen anerkannt waren;</w:t>
      </w:r>
    </w:p>
    <w:p>
      <w:pPr>
        <w:ind w:left="420"/>
      </w:pPr>
      <w:r>
        <w:t xml:space="preserve">18. die folgenden Kapitalbeteiligungsgesellschaften für die mittelständische Wirtschaft, soweit sich deren Geschäftsbetrieb darauf beschränkt, im öffentlichen Interesse mit Eigenmitteln oder mit staatlicher Hilfe Beteiligungen zu erwerben, wenn der von ihnen erzielte Gewinn ausschließlich und unmittelbar für die satzungsmäßigen Zwecke der Beteiligungsfinanzierung verwendet wird:Mittelständische Beteiligungsgesellschaft Baden-Württemberg GmbH, Kapitalbeteiligungsgesellschaft für die mittelständische Wirtschaft Bayerns mbH, MBG Mittelständische Beteiligungsgesellschaft Hessen GmbH, Mittelständische Beteiligungsgesellschaft Niedersachsen (MBG) mbH, Kapitalbeteiligungsgesellschaft für die mittelständische Wirtschaft in Nordrhein-Westfalen mbH, Mittelständische Beteiligungs- und Wagnisfinanzierungsgesellschaft Rheinland-Pfalz mbH, Saarländische Kapitalbeteiligungsgesellschaft mbH, Gesellschaft für Wagniskapital Mittelständische Beteiligungsgesellschaft Schleswig-Holstein Gesellschaft mit beschränkter Haftung - MBG -, Technologie-Beteiligungs-Gesellschaft mbH der Deutschen Ausgleichsbank, bgb Beteiligungsgesellschaft Berlin mbH für kleine und mittlere Betriebe, Mittelständische Beteiligungsgesellschaft Berlin-Brandenburg mbH, Mittelständische Beteiligungsgesellschaft Mecklenburg-Vorpommern mbH, Mittelständische Beteiligungsgesellschaft Sachsen mbH, Mittelständische Beteiligungsgesellschaft Sachsen-Anhalt mbH, Mittelständische Beteiligungsgesellschaft Thüringen (MBG) mbH;</w:t>
      </w:r>
    </w:p>
    <w:p>
      <w:pPr>
        <w:ind w:left="420"/>
      </w:pPr>
      <w:r>
        <w:t xml:space="preserve">19. Unternehmensbeteiligungsgesellschaften, die nach dem Gesetz über Unternehmensbeteiligungsgesellschaften vom 17. Dezember 1986 (BGBl. I S. 2488) in dem Kalenderjahr, das dem Veranlagungszeitpunkt vorangeht, anerkannt sind. Der Widerruf der Anerkennung und der Verzicht auf die Anerkennung haben Wirkung für die Vergangenheit, wenn nicht Aktien der Unternehmensbeteiligungsgesellschaft öffentlich angeboten worden sind. Bescheide über die Anerkennung, die Rücknahme oder den Widerruf der Anerkennung und über die Feststellung, ob Aktien der Unternehmensbeteiligungsgesellschaft öffentlich angeboten worden sind, sind Grundlagenbescheide im Sinne der Abgabenordnung;</w:t>
      </w:r>
    </w:p>
    <w:p>
      <w:pPr>
        <w:ind w:left="420"/>
      </w:pPr>
      <w:r>
        <w:t xml:space="preserve">20. Wirtschaftsförderungsgesellschaften, wenn sie von der Körperschaftsteuer befreit sind;</w:t>
      </w:r>
    </w:p>
    <w:p>
      <w:pPr>
        <w:ind w:left="420"/>
      </w:pPr>
      <w:r>
        <w:t xml:space="preserve">21. Gesamthafenbetriebe im Sinne des § 1 des Gesetzes über die Schaffung eines besonderen Arbeitgebers für Hafenarbeiter vom 3. August 1950 (BGBl. I S. 352), soweit sie von der Körperschaftsteuer befreit sind;</w:t>
      </w:r>
    </w:p>
    <w:p>
      <w:pPr>
        <w:ind w:left="420"/>
      </w:pPr>
      <w:r>
        <w:t xml:space="preserve">22. Zusammenschlüsse im Sinne des § 5 Abs. 1 Nr. 20 des Körperschaftsteuergesetzes, soweit sie von der Körperschaftsteuer befreit sind;</w:t>
      </w:r>
    </w:p>
    <w:p>
      <w:pPr>
        <w:ind w:left="420"/>
      </w:pPr>
      <w:r>
        <w:t xml:space="preserve">23. die Arbeitsgemeinschaften Medizinischer Dienst der Krankenversicherung im Sinne des § 278 des Fünften Buches Sozialgesetzbuch und der Medizinische Dienst der Spitzenverbände der Krankenkassen im Sinne des § 282 des Fünften Buches Sozialgesetzbuch, soweit sie von der Körperschaftsteuer befreit sind.</w:t>
      </w:r>
    </w:p>
    <w:p>
      <w:r>
        <w:t xml:space="preserve">(2) Die Befreiungen nach Absatz 1 sind auf beschränkt Steuerpflichtige (§ 2) nicht anzuwenden.</w:t>
      </w:r>
    </w:p>
    <w:p>
      <w:r>
        <w:rPr>
          <w:color w:val="555555"/>
          <w:sz w:val="17"/>
        </w:rPr>
        <w:t xml:space="preserve">Zitiervorschlag: § 3 VStG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https://recht.nulegal.eu/gesetze/VStG%201974/3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