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24c VStG 1974 — Zeitlich befristete Sondervorschrift für die Besteuerung nach dem Vermögen in dem in Artikel 3 des Einigungsvertrages genannten Gebiet</w:t>
      </w:r>
    </w:p>
    <w:p>
      <w:r>
        <w:rPr>
          <w:color w:val="555555"/>
          <w:sz w:val="18"/>
        </w:rPr>
        <w:t xml:space="preserve">Vermögensteuergesetz</w:t>
      </w:r>
    </w:p>
    <w:p>
      <w:r>
        <w:rPr>
          <w:color w:val="555555"/>
          <w:sz w:val="18"/>
        </w:rPr>
        <w:t xml:space="preserve">Stand: 10.06.2019 (konsolidierte Textfassung, kein amtliches Inkrafttretensdatum)</w:t>
      </w:r>
    </w:p>
    <w:p>
      <w:r>
        <w:t xml:space="preserve">Für die Vermögensteuer der Kalenderjahre 1996 bis 1998 gilt in dem in Artikel 3 des Einigungsvertrages genannten Gebiet folgendes:</w:t>
      </w:r>
    </w:p>
    <w:p>
      <w:pPr>
        <w:ind w:left="420"/>
      </w:pPr>
      <w:r>
        <w:t xml:space="preserve">1. Von der Vermögensteuer sind vorbehaltlich des Satzes 3 befreit</w:t>
      </w:r>
    </w:p>
    <w:p>
      <w:pPr>
        <w:ind w:left="780"/>
      </w:pPr>
      <w:r>
        <w:t xml:space="preserve">a) natürliche Personen mit Wohnsitz oder gewöhnlichem Aufenthalt,</w:t>
      </w:r>
    </w:p>
    <w:p>
      <w:pPr>
        <w:ind w:left="780"/>
      </w:pPr>
      <w:r>
        <w:t xml:space="preserve">b) Körperschaften, Personenvereinigungen und Vermögensmassen im Sinne des § 1 Abs. 1 Nr. 2 mit Geschäftsleitung</w:t>
      </w:r>
    </w:p>
    <w:p>
      <w:pPr>
        <w:ind w:left="420"/>
      </w:pPr>
      <w:r>
        <w:t xml:space="preserve">in dem in Artikel 3 des Einigungsvertrages genannten Gebiet. § 19 Abs. 1 Satz 2 und § 20 Abs. 2 der Abgabenordnung gelten sinngemäß. Nicht befreit sind die Wirtschaftsgüter eines Gewerbebetriebs, soweit hierfür in dem außerhalb des in Artikel 3 des Einigungsvertrages genannten Gebiet der Bundesrepublik Deutschland eine Betriebsstätte unterhalten wird oder ein ständiger Vertreter bestellt ist. § 136 Nr. 3 Buchstabe a Satz 2 des Bewertungsgesetzes gilt entsprechend. Für die Besteuerung nach dem Vermögen ist abweichend von den §§ 19 und 20 der Abgabenordnung das Finanzamt in dem außerhalb des in Artikel 3 des Einigungsvertrages genannten Gebiet der Bundesrepublik Deutschland zuständig, in dessen Bezirk sich das Betriebsvermögen, und, wenn dies für mehrere Finanzämter zutrifft, das Finanzamt, in dessen Bezirk sich der wertvollste Teil des Betriebsvermögens befindet.</w:t>
      </w:r>
    </w:p>
    <w:p>
      <w:pPr>
        <w:ind w:left="420"/>
      </w:pPr>
      <w:r>
        <w:t xml:space="preserve">2. Von der Vermögensteuer sind auch befreit deutsche Staatsangehörige, die</w:t>
      </w:r>
    </w:p>
    <w:p>
      <w:pPr>
        <w:ind w:left="780"/>
      </w:pPr>
      <w:r>
        <w:t xml:space="preserve">a) im Inland weder einen Wohnsitz noch ihren gewöhnlichen Aufenthalt haben und</w:t>
      </w:r>
    </w:p>
    <w:p>
      <w:pPr>
        <w:ind w:left="780"/>
      </w:pPr>
      <w:r>
        <w:t xml:space="preserve">b) zu einer juristischen Person des öffentlichen Rechts in dem in Artikel 3 des Einigungsvertrages genannten Gebiet in einem Dienstverhältnis stehen und dafür Arbeitslohn aus einer inländischen öffentlichen Kasse beziehen,</w:t>
      </w:r>
    </w:p>
    <w:p>
      <w:pPr>
        <w:ind w:left="420"/>
      </w:pPr>
      <w:r>
        <w:t xml:space="preserve">sowie zu ihrem Haushalt gehörende Angehörige, die die deutsche Staatsangehörigkeit besitzen.</w:t>
      </w:r>
    </w:p>
    <w:p>
      <w:pPr>
        <w:ind w:left="420"/>
      </w:pPr>
      <w:r>
        <w:t xml:space="preserve">3. Die Nummern 1 und 2 gelten nicht für Steuerpflichtige, die nach dem 31. Dezember 1990 in dem in Artikel 3 des Einigungsvertrages genannten Gebiet einen Wohnsitz begründet haben oder dort erstmals ihren gewöhnlichen Aufenthalt, ihre Geschäftsleitung oder in den Fällen der Nummer 1 Satz 2 ihren Sitz haben.</w:t>
      </w:r>
    </w:p>
    <w:p>
      <w:pPr>
        <w:ind w:left="420"/>
      </w:pPr>
      <w:r>
        <w:t xml:space="preserve">4. Die beschränkte Steuerpflicht erstreckt sich nur auf Vermögen der in § 121 des Bewertungsgesetzes genannten Art, das auf das Inland mit Ausnahme des in Artikel 3 des Einigungsvertrages genannten Gebietes entfällt.</w:t>
      </w:r>
    </w:p>
    <w:p>
      <w:r>
        <w:rPr>
          <w:color w:val="555555"/>
          <w:sz w:val="17"/>
        </w:rPr>
        <w:t xml:space="preserve">Zitiervorschlag: § 24c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https://recht.nulegal.eu/gesetze/VStG%201974/24c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