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VStG 1974 — Beschränkte Steuerpflicht</w:t>
      </w:r>
    </w:p>
    <w:p>
      <w:r>
        <w:rPr>
          <w:color w:val="555555"/>
          <w:sz w:val="18"/>
        </w:rPr>
        <w:t xml:space="preserve">Vermögensteuergesetz</w:t>
      </w:r>
    </w:p>
    <w:p>
      <w:r>
        <w:rPr>
          <w:color w:val="555555"/>
          <w:sz w:val="18"/>
        </w:rPr>
        <w:t xml:space="preserve">Stand: 10.06.2019 (konsolidierte Textfassung, kein amtliches Inkrafttretensdatum)</w:t>
      </w:r>
    </w:p>
    <w:p>
      <w:r>
        <w:t xml:space="preserve">(1) Beschränkt steuerpflichtig sind</w:t>
      </w:r>
    </w:p>
    <w:p>
      <w:pPr>
        <w:ind w:left="420"/>
      </w:pPr>
      <w:r>
        <w:t xml:space="preserve">1. natürliche Personen, die im Inland weder einen Wohnsitz noch ihren gewöhnlichen Aufenthalt haben;</w:t>
      </w:r>
    </w:p>
    <w:p>
      <w:pPr>
        <w:ind w:left="420"/>
      </w:pPr>
      <w:r>
        <w:t xml:space="preserve">2. Körperschaften, Personenvereinigungen und Vermögensmassen, die im Inland weder ihre Geschäftsleitung noch ihren Sitz haben.</w:t>
      </w:r>
    </w:p>
    <w:p>
      <w:r>
        <w:t xml:space="preserve">(2) Die beschränkte Steuerpflicht erstreckt sich nur auf Vermögen der in § 121 des Bewertungsgesetzes genannten Art, das auf das Inland entfällt.</w:t>
      </w:r>
    </w:p>
    <w:p>
      <w:r>
        <w:t xml:space="preserve">(3) Abweichend von Absatz 2 erstreckt sich die beschränkte Steuerpflicht eines Steuerpflichtigen mit Wohnsitz oder gewöhnlichem Aufenthalt, Sitz oder Ort der Geschäftsleitung in einem ausländischen Staat nicht auf das inländische Betriebsvermögen, das dem Betrieb von eigenen oder gecharterten Seeschiffen oder Luftfahrzeugen eines Unternehmens dient, dessen Geschäftsleitung sich in dem ausländischen Staat befindet. Voraussetzung für die Steuerbefreiung ist, daß dieser ausländische Staat Steuerpflichtigen mit Wohnsitz oder gewöhnlichem Aufenthalt, Sitz oder Ort der Geschäftsleitung im Inland eine entsprechende Steuerbefreiung für derartiges Vermögen gewährt und daß das Bundesministerium für Verkehr, Bau- und Wohnungswesen die Steuerbefreiung für verkehrspolitisch unbedenklich erklärt hat.</w:t>
      </w:r>
    </w:p>
    <w:p>
      <w:r>
        <w:rPr>
          <w:color w:val="555555"/>
          <w:sz w:val="17"/>
        </w:rPr>
        <w:t xml:space="preserve">Zitiervorschlag: § 2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