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VStG 1974 — Aufhebung der Veranlagung</w:t>
      </w:r>
    </w:p>
    <w:p>
      <w:r>
        <w:rPr>
          <w:color w:val="555555"/>
          <w:sz w:val="18"/>
        </w:rPr>
        <w:t xml:space="preserve">Vermögensteuergesetz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Wird dem Finanzamt bekannt, daß</w:t>
      </w:r>
    </w:p>
    <w:p>
      <w:pPr>
        <w:ind w:left="420"/>
      </w:pPr>
      <w:r>
        <w:t xml:space="preserve">1. die Steuerpflicht erloschen oder ein persönlicher Befreiungsgrund eingetreten ist oder</w:t>
      </w:r>
    </w:p>
    <w:p>
      <w:pPr>
        <w:ind w:left="420"/>
      </w:pPr>
      <w:r>
        <w:t xml:space="preserve">2. die Veranlagung fehlerhaft ist,</w:t>
      </w:r>
    </w:p>
    <w:p>
      <w:r>
        <w:t xml:space="preserve">so ist die Veranlagung aufzuheben.</w:t>
      </w:r>
    </w:p>
    <w:p>
      <w:r>
        <w:t xml:space="preserve">(2) Die Veranlagung wird aufgehoben</w:t>
      </w:r>
    </w:p>
    <w:p>
      <w:pPr>
        <w:ind w:left="420"/>
      </w:pPr>
      <w:r>
        <w:t xml:space="preserve">1. in den Fällen des Absatzes 1 Nr. 1 mit Wirkung vom Beginn des Kalenderjahrs an, der auf den Eintritt des maßgebenden Ereignisses folgt;</w:t>
      </w:r>
    </w:p>
    <w:p>
      <w:pPr>
        <w:ind w:left="420"/>
      </w:pPr>
      <w:r>
        <w:t xml:space="preserve">2. in den Fällen des Absatzes 1 Nr. 2 mit Wirkung vom Beginn des Kalenderjahrs an, in dem der Fehler dem Finanzamt bekannt wird.</w:t>
      </w:r>
    </w:p>
    <w:p>
      <w:r>
        <w:t xml:space="preserve">Der Beginn des maßgebenden Kalenderjahrs ist der Aufhebungszeitpunkt. § 15 Abs. 3 ist entsprechend anzuwenden.</w:t>
      </w:r>
    </w:p>
    <w:p>
      <w:r>
        <w:rPr>
          <w:color w:val="555555"/>
          <w:sz w:val="17"/>
        </w:rPr>
        <w:t xml:space="preserve">Zitiervorschlag: § 18 VStG 1974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https://recht.nulegal.eu/gesetze/VStG%201974/18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