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VStG 1974 — Nachveranlagung</w:t>
      </w:r>
    </w:p>
    <w:p>
      <w:r>
        <w:rPr>
          <w:color w:val="555555"/>
          <w:sz w:val="18"/>
        </w:rPr>
        <w:t xml:space="preserve">Vermögensteuergesetz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Vermögensteuer wird nachträglich festgesetzt (Nachveranlagung), wenn nach dem Hauptveranlagungszeitpunkt</w:t>
      </w:r>
    </w:p>
    <w:p>
      <w:pPr>
        <w:ind w:left="420"/>
      </w:pPr>
      <w:r>
        <w:t xml:space="preserve">1. die persönliche Steuerpflicht neu begründet wird oder</w:t>
      </w:r>
    </w:p>
    <w:p>
      <w:pPr>
        <w:ind w:left="420"/>
      </w:pPr>
      <w:r>
        <w:t xml:space="preserve">2. ein persönlicher Befreiungsgrund wegfällt oder</w:t>
      </w:r>
    </w:p>
    <w:p>
      <w:pPr>
        <w:ind w:left="420"/>
      </w:pPr>
      <w:r>
        <w:t xml:space="preserve">3. ein beschränkt Steuerpflichtiger unbeschränkt steuerpflichtig oder ein unbeschränkt Steuerpflichtiger beschränkt steuerpflichtig wird.</w:t>
      </w:r>
    </w:p>
    <w:p>
      <w:r>
        <w:t xml:space="preserve">(2) Nachveranlagt wird mit Wirkung vom Beginn des Kalenderjahrs an, der dem maßgebenden Ereignis folgt. Der Beginn dieses Kalenderjahrs ist der Nachveranlagungszeitpunkt. § 15 Abs. 3 ist entsprechend anzuwenden.</w:t>
      </w:r>
    </w:p>
    <w:p>
      <w:r>
        <w:rPr>
          <w:color w:val="555555"/>
          <w:sz w:val="17"/>
        </w:rPr>
        <w:t xml:space="preserve">Zitiervorschlag: § 17 VStG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https://recht.nulegal.eu/gesetze/VStG%201974/17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