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VStG 1974 — Neuveranlagung</w:t>
      </w:r>
    </w:p>
    <w:p>
      <w:r>
        <w:rPr>
          <w:color w:val="555555"/>
          <w:sz w:val="18"/>
        </w:rPr>
        <w:t xml:space="preserve">Vermögensteuergesetz</w:t>
      </w:r>
    </w:p>
    <w:p>
      <w:r>
        <w:rPr>
          <w:color w:val="555555"/>
          <w:sz w:val="18"/>
        </w:rPr>
        <w:t xml:space="preserve">Stand: 10.06.2019 (konsolidierte Textfassung, kein amtliches Inkrafttretensdatum)</w:t>
      </w:r>
    </w:p>
    <w:p>
      <w:r>
        <w:t xml:space="preserve">(1) Die Vermögensteuer wird neu veranlagt, wenn dem Finanzamt bekannt wird,</w:t>
      </w:r>
    </w:p>
    <w:p>
      <w:pPr>
        <w:ind w:left="420"/>
      </w:pPr>
      <w:r>
        <w:t xml:space="preserve">1. daß sich die Verhältnisse für die Zusammenveranlagung ändern;</w:t>
      </w:r>
    </w:p>
    <w:p>
      <w:pPr>
        <w:ind w:left="420"/>
      </w:pPr>
      <w:r>
        <w:t xml:space="preserve">2. daß sich vorbehaltlich der Nummer 1 die Verhältnisse für die Ermittlung der Vermögensteuer gegenüber den Verhältnissen geändert haben, die bei der zuletzt festgesetzten Vermögensteuer zugrunde gelegt worden sind, und die Vermögensteuer nach oben um mindestens 1.000 Deutsche Mark oder nach unten um mindestens 250 Deutsche Mark von der zuletzt festgesetzten Vermögensteuer abweicht.</w:t>
      </w:r>
    </w:p>
    <w:p>
      <w:r>
        <w:t xml:space="preserve">(2) Durch eine Neuveranlagung nach Absatz 1 können auch Fehler der letzten Veranlagung beseitigt werden. § 176 der Abgabenordnung ist hierbei entsprechend anzuwenden. Dies gilt jedoch nur für Veranlagungszeitpunkte, die vor der Verkündung der maßgeblichen Entscheidung eines obersten Gerichts des Bundes liegen.</w:t>
      </w:r>
    </w:p>
    <w:p>
      <w:r>
        <w:t xml:space="preserve">(3) Neu veranlagt wird</w:t>
      </w:r>
    </w:p>
    <w:p>
      <w:pPr>
        <w:ind w:left="420"/>
      </w:pPr>
      <w:r>
        <w:t xml:space="preserve">1. in den Fällen des Absatzes 1 Nr. 1 mit Wirkung vom Beginn des Kalenderjahrs an, das der Änderung der Verhältnisse für die Zusammenveranlagung folgt;</w:t>
      </w:r>
    </w:p>
    <w:p>
      <w:pPr>
        <w:ind w:left="420"/>
      </w:pPr>
      <w:r>
        <w:t xml:space="preserve">2. in den Fällen des Absatzes 1 Nr. 2 mit Wirkung vom Beginn des Kalenderjahrs an, für den sich die Abweichung bei der Vermögensteuer ergibt;</w:t>
      </w:r>
    </w:p>
    <w:p>
      <w:pPr>
        <w:ind w:left="420"/>
      </w:pPr>
      <w:r>
        <w:t xml:space="preserve">3. in den Fällen des Absatzes 2 mit Wirkung vom Beginn des Kalenderjahrs an, in dem der Fehler dem Finanzamt bekannt wird, bei einer Erhöhung der Vermögensteuer jedoch frühestens vom Beginn des Kalenderjahrs an, in dem der Steuerbescheid erteilt wird.</w:t>
      </w:r>
    </w:p>
    <w:p>
      <w:r>
        <w:t xml:space="preserve">Der Beginn des maßgebenden Kalenderjahrs ist der Neuveranlagungszeitpunkt. § 15 Abs. 3 ist entsprechend anzuwenden.</w:t>
      </w:r>
    </w:p>
    <w:p>
      <w:r>
        <w:rPr>
          <w:color w:val="555555"/>
          <w:sz w:val="17"/>
        </w:rPr>
        <w:t xml:space="preserve">Zitiervorschlag: § 16 VStG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https://recht.nulegal.eu/gesetze/VStG%201974/16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