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VStG 1974 — Pauschbesteuerung bei beschränkter Steuerpflicht</w:t>
      </w:r>
    </w:p>
    <w:p>
      <w:r>
        <w:rPr>
          <w:color w:val="555555"/>
          <w:sz w:val="18"/>
        </w:rPr>
        <w:t xml:space="preserve">Vermögensteuergesetz</w:t>
      </w:r>
    </w:p>
    <w:p>
      <w:r>
        <w:rPr>
          <w:color w:val="555555"/>
          <w:sz w:val="18"/>
        </w:rPr>
        <w:t xml:space="preserve">Stand: 10.06.2019 (konsolidierte Textfassung, kein amtliches Inkrafttretensdatum)</w:t>
      </w:r>
    </w:p>
    <w:p>
      <w:r>
        <w:t xml:space="preserve">Die obersten Finanzbehörden der Länder oder die von ihnen beauftragten Finanzbehörden können im Einvernehmen mit dem Bundesministerium der Finanzen die Vermögensteuer bei beschränkt Steuerpflichtigen ganz oder zum Teil erlassen oder in einem Pauschbetrag festsetzen, wenn es aus volkswirtschaftlichen Gründen zweckmäßig oder die Ermittlung der Vermögensteuer besonders schwierig ist.</w:t>
      </w:r>
    </w:p>
    <w:p>
      <w:r>
        <w:rPr>
          <w:color w:val="555555"/>
          <w:sz w:val="17"/>
        </w:rPr>
        <w:t xml:space="preserve">Zitiervorschlag: § 13 VStG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https://recht.nulegal.eu/gesetze/VStG%201974/13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