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VStDÜV — Schnittstellen</w:t>
      </w:r>
    </w:p>
    <w:p>
      <w:r>
        <w:rPr>
          <w:color w:val="555555"/>
          <w:sz w:val="18"/>
        </w:rPr>
        <w:t xml:space="preserve">Verbrauch-und-Luftverkehrsteuerdaten-Übermittlungs-Verordnung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Bei der elektronischen Datenübermittlung nach § 3 Absatz 1 hat der Datenübermittler die hierfür von der Generalzolldirektion amtlich bestimmten Schnittstellen ordnungsgemäß zu bedienen.</w:t>
      </w:r>
    </w:p>
    <w:p>
      <w:r>
        <w:t xml:space="preserve">(2) Die amtlich bestimmten Schnittstellen werden über das Internet zur Verfügung gestellt.</w:t>
      </w:r>
    </w:p>
    <w:p>
      <w:r>
        <w:rPr>
          <w:color w:val="555555"/>
          <w:sz w:val="17"/>
        </w:rPr>
        <w:t xml:space="preserve">Zitiervorschlag: § 5 VStDÜV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https://recht.nulegal.eu/gesetze/VStD%C3%9CV/5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