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VStDÜV — Datenübermittlungen im Auftrag</w:t>
      </w:r>
    </w:p>
    <w:p>
      <w:r>
        <w:rPr>
          <w:color w:val="555555"/>
          <w:sz w:val="18"/>
        </w:rPr>
        <w:t xml:space="preserve">Verbrauch-und-Luftverkehrsteuerdaten-Übermittlungs-Verordnung</w:t>
      </w:r>
    </w:p>
    <w:p>
      <w:r>
        <w:rPr>
          <w:color w:val="555555"/>
          <w:sz w:val="18"/>
        </w:rPr>
        <w:t xml:space="preserve">Stand: 01.01.2021 (konsolidierte Textfassung, kein amtliches Inkrafttretensdatum)</w:t>
      </w:r>
    </w:p>
    <w:p>
      <w:r>
        <w:t xml:space="preserve">(1) Mit der elektronischen Datenübermittlung nach § 3 Absatz 1 können Dritte (Auftragnehmer) beauftragt werden.</w:t>
      </w:r>
    </w:p>
    <w:p>
      <w:r>
        <w:t xml:space="preserve">(2) Der Auftragnehmer muss sich vor Übermittlung der Daten Gewissheit über die Person und die Anschrift seines Auftraggebers verschaffen (Identifizierung) und die entsprechenden Angaben in geeigneter Form festhalten. Von einer Identifizierung kann abgesehen werden, wenn der Auftragnehmer den Auftraggeber bereits bei früherer Gelegenheit identifiziert und die dabei erhobenen Angaben aufgezeichnet hat, es sei denn, der Auftragnehmer muss auf Grund der äußeren Umstände bezweifeln, dass die bei der früheren Identifizierung erhobenen Angaben weiterhin zutreffend sind. Der Auftragnehmer hat sicherzustellen, dass er jederzeit Auskunft darüber geben kann, wer Auftraggeber der Datenübermittlung war. Die Aufzeichnungen nach Satz 1 sind fünf Jahre aufzubewahren; die Aufbewahrungsfrist beginnt nach Ablauf des Jahres der letzten Datenübermittlung. Die Pflicht zur Herstellung der Auskunftsbereitschaft nach Satz 3 endet mit Ablauf der Aufbewahrungsfrist nach Satz 4.</w:t>
      </w:r>
    </w:p>
    <w:p>
      <w:r>
        <w:t xml:space="preserve">(3) Der Auftragnehmer hat dem Auftraggeber die Daten in leicht nachprüfbarer Form zur Zustimmung zur Verfügung zu stellen. Der Auftraggeber hat die ihm zur Verfügung gestellten Daten unverzüglich auf Vollständigkeit und Richtigkeit zu überprüfen.</w:t>
      </w:r>
    </w:p>
    <w:p>
      <w:r>
        <w:rPr>
          <w:color w:val="555555"/>
          <w:sz w:val="17"/>
        </w:rPr>
        <w:t xml:space="preserve">Zitiervorschlag: § 4 VStDÜV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https://recht.nulegal.eu/gesetze/VStD%C3%9CV/4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