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VStDÜV — Begriffsbestimmungen</w:t>
      </w:r>
    </w:p>
    <w:p>
      <w:r>
        <w:rPr>
          <w:color w:val="555555"/>
          <w:sz w:val="18"/>
        </w:rPr>
        <w:t xml:space="preserve">Verbrauch-und-Luftverkehrsteuerdaten-Übermittlungs-Verordnung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Erklärungen: Steuererklärungen oder sonstige Erklärungen, Steueranmeldungen, Anträge, Anzeigen, Mitteilungen, Nachweise oder sonstige für das Verfahren erforderliche Daten;</w:t>
      </w:r>
    </w:p>
    <w:p>
      <w:pPr>
        <w:ind w:left="420"/>
      </w:pPr>
      <w:r>
        <w:t xml:space="preserve">2. zuständiges Hauptzollamt: das jeweils zuständige Hauptzollamt nach den Gesetzen oder Verordnungen nach § 1 Absatz 1.</w:t>
      </w:r>
    </w:p>
    <w:p>
      <w:r>
        <w:rPr>
          <w:color w:val="555555"/>
          <w:sz w:val="17"/>
        </w:rPr>
        <w:t xml:space="preserve">Zitiervorschlag: § 2 VStDÜV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https://recht.nulegal.eu/gesetze/VStD%C3%9CV/2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